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900" w:lineRule="exact"/>
        <w:jc w:val="both"/>
        <w:textAlignment w:val="auto"/>
        <w:rPr>
          <w:rFonts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eastAsia="仿宋_GB2312"/>
          <w:spacing w:val="-8"/>
          <w:sz w:val="32"/>
          <w:szCs w:val="32"/>
        </w:rPr>
      </w:pPr>
      <w:r>
        <w:rPr>
          <w:rFonts w:eastAsia="仿宋_GB2312"/>
          <w:spacing w:val="-8"/>
          <w:sz w:val="32"/>
          <w:szCs w:val="32"/>
        </w:rPr>
        <w:t>巴政办发〔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eastAsia="仿宋_GB2312"/>
          <w:spacing w:val="-8"/>
          <w:sz w:val="32"/>
          <w:szCs w:val="32"/>
        </w:rPr>
        <w:t>〕</w:t>
      </w:r>
      <w:r>
        <w:rPr>
          <w:rFonts w:hint="eastAsia" w:eastAsia="仿宋_GB2312" w:cs="Times New Roman"/>
          <w:sz w:val="32"/>
          <w:szCs w:val="32"/>
          <w:lang w:val="en-US" w:eastAsia="zh-CN"/>
        </w:rPr>
        <w:t>18</w:t>
      </w:r>
      <w:r>
        <w:rPr>
          <w:rFonts w:eastAsia="仿宋_GB2312"/>
          <w:spacing w:val="-8"/>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ind w:firstLine="840" w:firstLineChars="200"/>
        <w:jc w:val="center"/>
        <w:textAlignment w:val="auto"/>
        <w:rPr>
          <w:rFonts w:hint="eastAsia" w:ascii="方正小标宋简体" w:hAnsi="方正小标宋简体" w:eastAsia="方正小标宋简体" w:cs="方正小标宋简体"/>
          <w:b w:val="0"/>
          <w:bCs w:val="0"/>
          <w:spacing w:val="-8"/>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val="en-US" w:eastAsia="zh-CN"/>
        </w:rPr>
        <w:t xml:space="preserve"> 巴里坤县学前教育三年发展规划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eastAsia="仿宋_GB2312"/>
          <w:sz w:val="31"/>
        </w:rPr>
        <w:t>各有关单位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outlineLvl w:val="9"/>
        <w:rPr>
          <w:rFonts w:eastAsia="仿宋_GB2312"/>
          <w:spacing w:val="-4"/>
          <w:sz w:val="32"/>
          <w:szCs w:val="32"/>
        </w:rPr>
      </w:pPr>
      <w:r>
        <w:rPr>
          <w:rFonts w:eastAsia="仿宋_GB2312"/>
          <w:spacing w:val="-4"/>
          <w:sz w:val="32"/>
          <w:szCs w:val="32"/>
        </w:rPr>
        <w:t>《</w:t>
      </w:r>
      <w:r>
        <w:rPr>
          <w:rFonts w:hint="eastAsia" w:eastAsia="仿宋_GB2312"/>
          <w:sz w:val="32"/>
          <w:szCs w:val="32"/>
          <w:lang w:val="en-US" w:eastAsia="zh-CN"/>
        </w:rPr>
        <w:t>巴里坤县学前教育三年发展规划</w:t>
      </w:r>
      <w:r>
        <w:rPr>
          <w:rFonts w:eastAsia="仿宋_GB2312"/>
          <w:spacing w:val="-4"/>
          <w:sz w:val="32"/>
          <w:szCs w:val="32"/>
        </w:rPr>
        <w:t>》</w:t>
      </w:r>
      <w:r>
        <w:rPr>
          <w:rFonts w:eastAsia="仿宋_GB2312"/>
          <w:sz w:val="32"/>
          <w:szCs w:val="32"/>
        </w:rPr>
        <w:t>经县</w:t>
      </w:r>
      <w:r>
        <w:rPr>
          <w:rFonts w:hint="eastAsia" w:eastAsia="仿宋_GB2312"/>
          <w:sz w:val="32"/>
          <w:szCs w:val="32"/>
          <w:lang w:eastAsia="zh-CN"/>
        </w:rPr>
        <w:t>第十三届</w:t>
      </w:r>
      <w:r>
        <w:rPr>
          <w:rFonts w:eastAsia="仿宋_GB2312"/>
          <w:sz w:val="32"/>
          <w:szCs w:val="32"/>
        </w:rPr>
        <w:t>人民政府</w:t>
      </w:r>
      <w:r>
        <w:rPr>
          <w:rFonts w:hint="eastAsia" w:eastAsia="仿宋_GB2312"/>
          <w:sz w:val="32"/>
          <w:szCs w:val="32"/>
          <w:lang w:eastAsia="zh-CN"/>
        </w:rPr>
        <w:t>第五次常务会议</w:t>
      </w:r>
      <w:r>
        <w:rPr>
          <w:rFonts w:eastAsia="仿宋_GB2312"/>
          <w:sz w:val="32"/>
          <w:szCs w:val="32"/>
        </w:rPr>
        <w:t>研究</w:t>
      </w:r>
      <w:r>
        <w:rPr>
          <w:rFonts w:hint="eastAsia" w:eastAsia="仿宋_GB2312"/>
          <w:sz w:val="32"/>
          <w:szCs w:val="32"/>
          <w:lang w:eastAsia="zh-CN"/>
        </w:rPr>
        <w:t>通过</w:t>
      </w:r>
      <w:r>
        <w:rPr>
          <w:rFonts w:eastAsia="仿宋_GB2312"/>
          <w:sz w:val="32"/>
          <w:szCs w:val="32"/>
        </w:rPr>
        <w:t>，现印发给你们，请认真</w:t>
      </w:r>
      <w:r>
        <w:rPr>
          <w:rFonts w:hint="eastAsia" w:eastAsia="仿宋_GB2312"/>
          <w:sz w:val="32"/>
          <w:szCs w:val="32"/>
          <w:lang w:eastAsia="zh-CN"/>
        </w:rPr>
        <w:t>贯彻落实</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317"/>
        <w:textAlignment w:val="auto"/>
        <w:rPr>
          <w:rFonts w:eastAsia="仿宋_GB2312"/>
          <w:spacing w:val="8"/>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right="317" w:firstLine="632" w:firstLineChars="200"/>
        <w:jc w:val="center"/>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317" w:firstLine="632" w:firstLineChars="200"/>
        <w:jc w:val="center"/>
        <w:textAlignment w:val="auto"/>
        <w:rPr>
          <w:rFonts w:hint="eastAsia" w:eastAsia="仿宋_GB2312"/>
          <w:sz w:val="32"/>
          <w:szCs w:val="32"/>
        </w:rPr>
      </w:pPr>
      <w:r>
        <w:rPr>
          <w:rFonts w:hint="eastAsia"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316" w:firstLine="632" w:firstLineChars="200"/>
        <w:jc w:val="center"/>
        <w:textAlignment w:val="auto"/>
        <w:rPr>
          <w:rFonts w:hint="default" w:ascii="Times New Roman" w:hAnsi="Times New Roman" w:eastAsia="方正小标宋简体" w:cs="Times New Roman"/>
          <w:b w:val="0"/>
          <w:bCs w:val="0"/>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418" w:gutter="0"/>
          <w:pgNumType w:fmt="decimal"/>
          <w:cols w:space="720" w:num="1"/>
          <w:docGrid w:type="linesAndChars" w:linePitch="579" w:charSpace="-849"/>
        </w:sectPr>
      </w:pPr>
      <w:r>
        <w:rPr>
          <w:rFonts w:hint="eastAsia" w:eastAsia="仿宋_GB2312"/>
          <w:sz w:val="32"/>
          <w:szCs w:val="32"/>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17</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2"/>
          <w:rFonts w:hint="eastAsia" w:ascii="仿宋_GB2312" w:hAnsi="仿宋_GB2312" w:eastAsia="仿宋_GB2312" w:cs="仿宋_GB2312"/>
          <w:b w:val="0"/>
          <w:bCs/>
          <w:i w:val="0"/>
          <w:iCs w:val="0"/>
          <w:caps w:val="0"/>
          <w:color w:val="222222"/>
          <w:spacing w:val="0"/>
          <w:sz w:val="32"/>
          <w:szCs w:val="32"/>
          <w:shd w:val="clear" w:fill="FFFFFF"/>
          <w:lang w:val="en-US" w:eastAsia="zh-CN"/>
        </w:rPr>
      </w:pPr>
      <w:r>
        <w:rPr>
          <w:rFonts w:hint="eastAsia" w:ascii="方正小标宋简体" w:hAnsi="方正小标宋简体" w:eastAsia="方正小标宋简体" w:cs="方正小标宋简体"/>
          <w:sz w:val="44"/>
          <w:szCs w:val="52"/>
          <w:lang w:val="en-US" w:eastAsia="zh-CN"/>
        </w:rPr>
        <w:t>巴里坤县学前教育三年发展规划</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tabs>
          <w:tab w:val="left" w:pos="8124"/>
        </w:tabs>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2"/>
          <w:rFonts w:hint="eastAsia" w:ascii="仿宋_GB2312" w:hAnsi="仿宋_GB2312" w:eastAsia="仿宋_GB2312" w:cs="仿宋_GB2312"/>
          <w:b w:val="0"/>
          <w:bCs/>
          <w:i w:val="0"/>
          <w:iCs w:val="0"/>
          <w:caps w:val="0"/>
          <w:color w:val="222222"/>
          <w:spacing w:val="0"/>
          <w:sz w:val="32"/>
          <w:szCs w:val="32"/>
          <w:shd w:val="clear" w:fill="FFFFFF"/>
          <w:lang w:val="en-US" w:eastAsia="zh-CN"/>
        </w:rPr>
      </w:pPr>
      <w:r>
        <w:rPr>
          <w:rStyle w:val="12"/>
          <w:rFonts w:hint="eastAsia" w:ascii="仿宋_GB2312" w:hAnsi="仿宋_GB2312" w:eastAsia="仿宋_GB2312" w:cs="仿宋_GB2312"/>
          <w:b w:val="0"/>
          <w:bCs/>
          <w:i w:val="0"/>
          <w:iCs w:val="0"/>
          <w:caps w:val="0"/>
          <w:color w:val="222222"/>
          <w:spacing w:val="0"/>
          <w:sz w:val="32"/>
          <w:szCs w:val="32"/>
          <w:shd w:val="clear" w:fill="FFFFFF"/>
          <w:lang w:val="en-US" w:eastAsia="zh-CN"/>
        </w:rPr>
        <w:tab/>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2"/>
          <w:rFonts w:hint="eastAsia" w:ascii="仿宋_GB2312" w:hAnsi="仿宋_GB2312" w:eastAsia="仿宋_GB2312" w:cs="仿宋_GB2312"/>
          <w:b w:val="0"/>
          <w:bCs/>
          <w:i w:val="0"/>
          <w:iCs w:val="0"/>
          <w:caps w:val="0"/>
          <w:color w:val="222222"/>
          <w:spacing w:val="0"/>
          <w:sz w:val="32"/>
          <w:szCs w:val="32"/>
          <w:shd w:val="clear" w:fill="FFFFFF"/>
        </w:rPr>
      </w:pPr>
      <w:r>
        <w:rPr>
          <w:rStyle w:val="12"/>
          <w:rFonts w:hint="eastAsia" w:ascii="仿宋_GB2312" w:hAnsi="仿宋_GB2312" w:eastAsia="仿宋_GB2312" w:cs="仿宋_GB2312"/>
          <w:b w:val="0"/>
          <w:bCs/>
          <w:i w:val="0"/>
          <w:iCs w:val="0"/>
          <w:caps w:val="0"/>
          <w:color w:val="222222"/>
          <w:spacing w:val="0"/>
          <w:sz w:val="32"/>
          <w:szCs w:val="32"/>
          <w:shd w:val="clear" w:fill="FFFFFF"/>
          <w:lang w:val="en-US" w:eastAsia="zh-CN"/>
        </w:rPr>
        <w:t>为</w:t>
      </w:r>
      <w:r>
        <w:rPr>
          <w:rStyle w:val="12"/>
          <w:rFonts w:hint="eastAsia" w:ascii="仿宋_GB2312" w:hAnsi="仿宋_GB2312" w:eastAsia="仿宋_GB2312" w:cs="仿宋_GB2312"/>
          <w:b w:val="0"/>
          <w:bCs/>
          <w:i w:val="0"/>
          <w:iCs w:val="0"/>
          <w:caps w:val="0"/>
          <w:color w:val="222222"/>
          <w:spacing w:val="0"/>
          <w:sz w:val="32"/>
          <w:szCs w:val="32"/>
          <w:shd w:val="clear" w:fill="FFFFFF"/>
        </w:rPr>
        <w:t>全力推进我县学前教育普及普惠安全优质发展</w:t>
      </w:r>
      <w:r>
        <w:rPr>
          <w:rStyle w:val="12"/>
          <w:rFonts w:hint="eastAsia" w:ascii="仿宋_GB2312" w:hAnsi="仿宋_GB2312" w:eastAsia="仿宋_GB2312" w:cs="仿宋_GB2312"/>
          <w:b w:val="0"/>
          <w:bCs/>
          <w:i w:val="0"/>
          <w:iCs w:val="0"/>
          <w:caps w:val="0"/>
          <w:color w:val="222222"/>
          <w:spacing w:val="0"/>
          <w:sz w:val="32"/>
          <w:szCs w:val="32"/>
          <w:shd w:val="clear" w:fill="FFFFFF"/>
          <w:lang w:eastAsia="zh-CN"/>
        </w:rPr>
        <w:t>，</w:t>
      </w:r>
      <w:r>
        <w:rPr>
          <w:rStyle w:val="12"/>
          <w:rFonts w:hint="eastAsia" w:ascii="仿宋_GB2312" w:hAnsi="仿宋_GB2312" w:eastAsia="仿宋_GB2312" w:cs="仿宋_GB2312"/>
          <w:b w:val="0"/>
          <w:bCs/>
          <w:i w:val="0"/>
          <w:iCs w:val="0"/>
          <w:caps w:val="0"/>
          <w:color w:val="222222"/>
          <w:spacing w:val="0"/>
          <w:sz w:val="32"/>
          <w:szCs w:val="32"/>
          <w:shd w:val="clear" w:fill="FFFFFF"/>
          <w:lang w:val="en-US" w:eastAsia="zh-CN"/>
        </w:rPr>
        <w:t>根据</w:t>
      </w:r>
      <w:r>
        <w:rPr>
          <w:rStyle w:val="12"/>
          <w:rFonts w:hint="eastAsia" w:ascii="仿宋_GB2312" w:hAnsi="仿宋_GB2312" w:eastAsia="仿宋_GB2312" w:cs="仿宋_GB2312"/>
          <w:b w:val="0"/>
          <w:bCs/>
          <w:i w:val="0"/>
          <w:iCs w:val="0"/>
          <w:caps w:val="0"/>
          <w:color w:val="222222"/>
          <w:spacing w:val="0"/>
          <w:sz w:val="32"/>
          <w:szCs w:val="32"/>
          <w:shd w:val="clear" w:fill="FFFFFF"/>
        </w:rPr>
        <w:t>《中共中央国务院关于学前教育深化改革规范发展的若干意见》、教育部《幼儿园保育教育质量评估指南》</w:t>
      </w:r>
      <w:r>
        <w:rPr>
          <w:rStyle w:val="12"/>
          <w:rFonts w:hint="eastAsia" w:ascii="仿宋_GB2312" w:hAnsi="仿宋_GB2312" w:eastAsia="仿宋_GB2312" w:cs="仿宋_GB2312"/>
          <w:b w:val="0"/>
          <w:bCs/>
          <w:i w:val="0"/>
          <w:iCs w:val="0"/>
          <w:caps w:val="0"/>
          <w:color w:val="222222"/>
          <w:spacing w:val="0"/>
          <w:sz w:val="32"/>
          <w:szCs w:val="32"/>
          <w:shd w:val="clear" w:fill="FFFFFF"/>
          <w:lang w:val="en-US" w:eastAsia="zh-CN"/>
        </w:rPr>
        <w:t>和《自治区保育教育质量自评指导手册》等文件精神</w:t>
      </w:r>
      <w:r>
        <w:rPr>
          <w:rStyle w:val="12"/>
          <w:rFonts w:hint="eastAsia" w:ascii="仿宋_GB2312" w:hAnsi="仿宋_GB2312" w:eastAsia="仿宋_GB2312" w:cs="仿宋_GB2312"/>
          <w:b w:val="0"/>
          <w:bCs/>
          <w:i w:val="0"/>
          <w:iCs w:val="0"/>
          <w:caps w:val="0"/>
          <w:color w:val="222222"/>
          <w:spacing w:val="0"/>
          <w:sz w:val="32"/>
          <w:szCs w:val="32"/>
          <w:shd w:val="clear" w:fill="FFFFFF"/>
        </w:rPr>
        <w:t>，</w:t>
      </w:r>
      <w:r>
        <w:rPr>
          <w:rStyle w:val="12"/>
          <w:rFonts w:hint="eastAsia" w:ascii="仿宋_GB2312" w:hAnsi="仿宋_GB2312" w:eastAsia="仿宋_GB2312" w:cs="仿宋_GB2312"/>
          <w:b w:val="0"/>
          <w:bCs/>
          <w:i w:val="0"/>
          <w:iCs w:val="0"/>
          <w:caps w:val="0"/>
          <w:color w:val="222222"/>
          <w:spacing w:val="0"/>
          <w:sz w:val="32"/>
          <w:szCs w:val="32"/>
          <w:shd w:val="clear" w:fill="FFFFFF"/>
          <w:lang w:val="en-US" w:eastAsia="zh-CN"/>
        </w:rPr>
        <w:t>依据《哈密市“十四五”学前教育发展提升行动计划》和《巴里坤县“十四五”学前教育发展提升行动计划》，结合我县实际，特</w:t>
      </w:r>
      <w:r>
        <w:rPr>
          <w:rStyle w:val="12"/>
          <w:rFonts w:hint="eastAsia" w:ascii="仿宋_GB2312" w:hAnsi="仿宋_GB2312" w:eastAsia="仿宋_GB2312" w:cs="仿宋_GB2312"/>
          <w:b w:val="0"/>
          <w:bCs/>
          <w:i w:val="0"/>
          <w:iCs w:val="0"/>
          <w:caps w:val="0"/>
          <w:color w:val="222222"/>
          <w:spacing w:val="0"/>
          <w:sz w:val="32"/>
          <w:szCs w:val="32"/>
          <w:shd w:val="clear" w:fill="FFFFFF"/>
        </w:rPr>
        <w:t>制定</w:t>
      </w:r>
      <w:r>
        <w:rPr>
          <w:rStyle w:val="12"/>
          <w:rFonts w:hint="eastAsia" w:ascii="仿宋_GB2312" w:hAnsi="仿宋_GB2312" w:eastAsia="仿宋_GB2312" w:cs="仿宋_GB2312"/>
          <w:b w:val="0"/>
          <w:bCs/>
          <w:i w:val="0"/>
          <w:iCs w:val="0"/>
          <w:caps w:val="0"/>
          <w:color w:val="222222"/>
          <w:spacing w:val="0"/>
          <w:sz w:val="32"/>
          <w:szCs w:val="32"/>
          <w:shd w:val="clear" w:fill="FFFFFF"/>
          <w:lang w:val="en-US" w:eastAsia="zh-CN"/>
        </w:rPr>
        <w:t>巴里坤县学前教育</w:t>
      </w:r>
      <w:r>
        <w:rPr>
          <w:rStyle w:val="12"/>
          <w:rFonts w:hint="default" w:ascii="Times New Roman" w:hAnsi="Times New Roman" w:eastAsia="仿宋_GB2312" w:cs="Times New Roman"/>
          <w:b w:val="0"/>
          <w:bCs/>
          <w:i w:val="0"/>
          <w:iCs w:val="0"/>
          <w:caps w:val="0"/>
          <w:color w:val="222222"/>
          <w:spacing w:val="0"/>
          <w:sz w:val="32"/>
          <w:szCs w:val="32"/>
          <w:shd w:val="clear" w:fill="FFFFFF"/>
          <w:lang w:val="en-US" w:eastAsia="zh-CN"/>
        </w:rPr>
        <w:t>2024-2027</w:t>
      </w:r>
      <w:r>
        <w:rPr>
          <w:rStyle w:val="12"/>
          <w:rFonts w:hint="eastAsia" w:ascii="仿宋_GB2312" w:hAnsi="仿宋_GB2312" w:eastAsia="仿宋_GB2312" w:cs="仿宋_GB2312"/>
          <w:b w:val="0"/>
          <w:bCs/>
          <w:i w:val="0"/>
          <w:iCs w:val="0"/>
          <w:caps w:val="0"/>
          <w:color w:val="222222"/>
          <w:spacing w:val="0"/>
          <w:sz w:val="32"/>
          <w:szCs w:val="32"/>
          <w:shd w:val="clear" w:fill="FFFFFF"/>
          <w:lang w:val="en-US" w:eastAsia="zh-CN"/>
        </w:rPr>
        <w:t>年学前教育三年发展规划</w:t>
      </w:r>
      <w:r>
        <w:rPr>
          <w:rStyle w:val="12"/>
          <w:rFonts w:hint="eastAsia" w:ascii="仿宋_GB2312" w:hAnsi="仿宋_GB2312" w:eastAsia="仿宋_GB2312" w:cs="仿宋_GB2312"/>
          <w:b w:val="0"/>
          <w:bCs/>
          <w:i w:val="0"/>
          <w:iCs w:val="0"/>
          <w:caps w:val="0"/>
          <w:color w:val="222222"/>
          <w:spacing w:val="0"/>
          <w:sz w:val="32"/>
          <w:szCs w:val="32"/>
          <w:shd w:val="clear" w:fill="FFFFFF"/>
        </w:rPr>
        <w:t>。</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Style w:val="12"/>
          <w:rFonts w:hint="eastAsia" w:ascii="黑体" w:hAnsi="黑体" w:eastAsia="黑体" w:cs="黑体"/>
          <w:b w:val="0"/>
          <w:bCs/>
          <w:i w:val="0"/>
          <w:iCs w:val="0"/>
          <w:caps w:val="0"/>
          <w:color w:val="222222"/>
          <w:spacing w:val="0"/>
          <w:sz w:val="32"/>
          <w:szCs w:val="32"/>
          <w:shd w:val="clear" w:fill="FFFFFF"/>
        </w:rPr>
      </w:pPr>
      <w:r>
        <w:rPr>
          <w:rStyle w:val="12"/>
          <w:rFonts w:hint="eastAsia" w:ascii="黑体" w:hAnsi="黑体" w:eastAsia="黑体" w:cs="黑体"/>
          <w:b w:val="0"/>
          <w:bCs/>
          <w:i w:val="0"/>
          <w:iCs w:val="0"/>
          <w:caps w:val="0"/>
          <w:color w:val="222222"/>
          <w:spacing w:val="0"/>
          <w:sz w:val="32"/>
          <w:szCs w:val="32"/>
          <w:shd w:val="clear" w:fill="FFFFFF"/>
        </w:rPr>
        <w:t>总体要求</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楷体_GB2312" w:hAnsi="楷体_GB2312" w:eastAsia="楷体_GB2312" w:cs="楷体_GB2312"/>
          <w:b/>
          <w:bCs/>
          <w:i w:val="0"/>
          <w:iCs w:val="0"/>
          <w:caps w:val="0"/>
          <w:color w:val="222222"/>
          <w:spacing w:val="0"/>
          <w:sz w:val="32"/>
          <w:szCs w:val="32"/>
        </w:rPr>
      </w:pPr>
      <w:r>
        <w:rPr>
          <w:rFonts w:hint="eastAsia" w:ascii="楷体_GB2312" w:hAnsi="楷体_GB2312" w:eastAsia="楷体_GB2312" w:cs="楷体_GB2312"/>
          <w:b/>
          <w:bCs/>
          <w:i w:val="0"/>
          <w:iCs w:val="0"/>
          <w:caps w:val="0"/>
          <w:color w:val="222222"/>
          <w:spacing w:val="0"/>
          <w:sz w:val="32"/>
          <w:szCs w:val="32"/>
          <w:shd w:val="clear" w:fill="FFFFFF"/>
        </w:rPr>
        <w:t>（一）指导思想</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以习近平新时代中国特色社会主义思想为指导，全面贯彻党的教育方针，加强党对教育工的全面领导，落实立德树人根本任务，把实现学前教育普及普惠安全优质发展作为重大任务，强化政府主体责任，健全保障机制，遵循学前教育规律，努力满足人民群众幼有所育、幼有优育的美好期盼，为培养德智体美劳全面发展的社会主义建设者和接班人奠定坚实基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楷体_GB2312" w:hAnsi="楷体_GB2312" w:eastAsia="楷体_GB2312" w:cs="楷体_GB2312"/>
          <w:b/>
          <w:bCs/>
          <w:i w:val="0"/>
          <w:iCs w:val="0"/>
          <w:caps w:val="0"/>
          <w:color w:val="222222"/>
          <w:spacing w:val="0"/>
          <w:sz w:val="32"/>
          <w:szCs w:val="32"/>
        </w:rPr>
      </w:pPr>
      <w:r>
        <w:rPr>
          <w:rFonts w:hint="eastAsia" w:ascii="楷体_GB2312" w:hAnsi="楷体_GB2312" w:eastAsia="楷体_GB2312" w:cs="楷体_GB2312"/>
          <w:b/>
          <w:bCs/>
          <w:i w:val="0"/>
          <w:iCs w:val="0"/>
          <w:caps w:val="0"/>
          <w:color w:val="222222"/>
          <w:spacing w:val="0"/>
          <w:sz w:val="32"/>
          <w:szCs w:val="32"/>
          <w:shd w:val="clear" w:fill="FFFFFF"/>
        </w:rPr>
        <w:t>（二）基本原则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强化公益普惠，切实落实政府主体责任，坚持学前教育公益普惠基本方向，进一步提高学前教育公共服务和普及水平。坚持巩固提高，优化城乡幼儿园布局，持续增加普惠性学前教育资源供给。推进科学保教，坚持以幼儿为本，遵循幼儿学习特点和身心发展规律，以游戏为基本活动，因材施教、科学保教，推动幼儿园和小学科学衔接，为幼儿后继学习和终身发展奠定基础。提升治理能力，加强规范监管，推进依法治教、依规办园，健全治理体系，强化安全保障，提升学前教育治理能力现代化水平。</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sz w:val="32"/>
          <w:lang w:eastAsia="zh-CN"/>
        </w:rPr>
      </w:pPr>
      <w:r>
        <w:rPr>
          <w:rFonts w:hint="eastAsia" w:ascii="楷体_GB2312" w:hAnsi="楷体_GB2312" w:eastAsia="楷体_GB2312" w:cs="楷体_GB2312"/>
          <w:b/>
          <w:bCs/>
          <w:sz w:val="32"/>
          <w:lang w:eastAsia="zh-CN"/>
        </w:rPr>
        <w:t>（</w:t>
      </w:r>
      <w:r>
        <w:rPr>
          <w:rFonts w:hint="eastAsia" w:ascii="楷体_GB2312" w:hAnsi="楷体_GB2312" w:eastAsia="楷体_GB2312" w:cs="楷体_GB2312"/>
          <w:b/>
          <w:bCs/>
          <w:sz w:val="32"/>
          <w:lang w:val="en-US" w:eastAsia="zh-CN"/>
        </w:rPr>
        <w:t>三</w:t>
      </w:r>
      <w:r>
        <w:rPr>
          <w:rFonts w:hint="eastAsia" w:ascii="楷体_GB2312" w:hAnsi="楷体_GB2312" w:eastAsia="楷体_GB2312" w:cs="楷体_GB2312"/>
          <w:b/>
          <w:bCs/>
          <w:sz w:val="32"/>
          <w:lang w:eastAsia="zh-CN"/>
        </w:rPr>
        <w:t>）工作目标</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cs="宋体"/>
          <w:sz w:val="32"/>
          <w:lang w:eastAsia="zh-CN"/>
        </w:rPr>
      </w:pPr>
      <w:r>
        <w:rPr>
          <w:rFonts w:hint="eastAsia" w:ascii="仿宋_GB2312" w:hAnsi="宋体" w:cs="宋体"/>
          <w:sz w:val="32"/>
          <w:lang w:eastAsia="zh-CN"/>
        </w:rPr>
        <w:t>进一步提高学前教育普及普惠水平，到</w:t>
      </w:r>
      <w:r>
        <w:rPr>
          <w:rStyle w:val="12"/>
          <w:rFonts w:hint="eastAsia" w:ascii="Times New Roman" w:hAnsi="Times New Roman" w:eastAsia="仿宋_GB2312" w:cs="Times New Roman"/>
          <w:b w:val="0"/>
          <w:bCs/>
          <w:i w:val="0"/>
          <w:iCs w:val="0"/>
          <w:caps w:val="0"/>
          <w:color w:val="222222"/>
          <w:spacing w:val="0"/>
          <w:kern w:val="0"/>
          <w:sz w:val="32"/>
          <w:szCs w:val="32"/>
          <w:shd w:val="clear" w:fill="FFFFFF"/>
          <w:lang w:val="en-US" w:eastAsia="zh-CN" w:bidi="ar"/>
        </w:rPr>
        <w:t>2025</w:t>
      </w:r>
      <w:r>
        <w:rPr>
          <w:rFonts w:hint="eastAsia" w:ascii="仿宋_GB2312" w:hAnsi="宋体" w:cs="宋体"/>
          <w:sz w:val="32"/>
          <w:lang w:eastAsia="zh-CN"/>
        </w:rPr>
        <w:t>年，全县学前三年毛入园率达到</w:t>
      </w:r>
      <w:r>
        <w:rPr>
          <w:rStyle w:val="12"/>
          <w:rFonts w:hint="eastAsia" w:ascii="Times New Roman" w:hAnsi="Times New Roman" w:eastAsia="仿宋_GB2312" w:cs="Times New Roman"/>
          <w:b w:val="0"/>
          <w:bCs/>
          <w:i w:val="0"/>
          <w:iCs w:val="0"/>
          <w:caps w:val="0"/>
          <w:color w:val="222222"/>
          <w:spacing w:val="0"/>
          <w:kern w:val="0"/>
          <w:sz w:val="32"/>
          <w:szCs w:val="32"/>
          <w:shd w:val="clear" w:fill="FFFFFF"/>
          <w:lang w:val="en-US" w:eastAsia="zh-CN" w:bidi="ar"/>
        </w:rPr>
        <w:t>95%</w:t>
      </w:r>
      <w:r>
        <w:rPr>
          <w:rFonts w:hint="eastAsia" w:ascii="仿宋_GB2312" w:hAnsi="宋体" w:cs="宋体"/>
          <w:sz w:val="32"/>
          <w:lang w:eastAsia="zh-CN"/>
        </w:rPr>
        <w:t>以上，普惠性幼儿园覆盖率和公办幼儿园在园幼儿占比分别稳定在</w:t>
      </w:r>
      <w:r>
        <w:rPr>
          <w:rStyle w:val="12"/>
          <w:rFonts w:hint="eastAsia" w:ascii="Times New Roman" w:hAnsi="Times New Roman" w:eastAsia="仿宋_GB2312" w:cs="Times New Roman"/>
          <w:b w:val="0"/>
          <w:bCs/>
          <w:i w:val="0"/>
          <w:iCs w:val="0"/>
          <w:caps w:val="0"/>
          <w:color w:val="222222"/>
          <w:spacing w:val="0"/>
          <w:kern w:val="0"/>
          <w:sz w:val="32"/>
          <w:szCs w:val="32"/>
          <w:shd w:val="clear" w:fill="FFFFFF"/>
          <w:lang w:val="en-US" w:eastAsia="zh-CN" w:bidi="ar"/>
        </w:rPr>
        <w:t>100%</w:t>
      </w:r>
      <w:r>
        <w:rPr>
          <w:rFonts w:hint="eastAsia" w:ascii="仿宋_GB2312" w:hAnsi="宋体" w:cs="宋体"/>
          <w:sz w:val="32"/>
          <w:lang w:eastAsia="zh-CN"/>
        </w:rPr>
        <w:t>，做好国</w:t>
      </w:r>
      <w:r>
        <w:rPr>
          <w:rFonts w:hint="eastAsia" w:ascii="仿宋_GB2312" w:hAnsi="宋体" w:cs="宋体"/>
          <w:sz w:val="32"/>
          <w:lang w:val="en-US" w:eastAsia="zh-CN"/>
        </w:rPr>
        <w:t>家</w:t>
      </w:r>
      <w:r>
        <w:rPr>
          <w:rFonts w:hint="eastAsia" w:ascii="仿宋_GB2312" w:hAnsi="宋体" w:cs="宋体"/>
          <w:sz w:val="32"/>
          <w:lang w:eastAsia="zh-CN"/>
        </w:rPr>
        <w:t>教育督导委员会对“学前教育普及普惠县”的认定工作。普惠性学前教育保障机制进一步完善，幼儿园保教质量全面提高，幼儿园与小学科学衔接机制基本形成。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sz w:val="32"/>
          <w:szCs w:val="40"/>
        </w:rPr>
      </w:pPr>
      <w:r>
        <w:rPr>
          <w:rFonts w:hint="eastAsia" w:ascii="黑体" w:hAnsi="黑体" w:eastAsia="黑体" w:cs="黑体"/>
          <w:b/>
          <w:bCs/>
          <w:sz w:val="32"/>
          <w:szCs w:val="40"/>
          <w:lang w:val="en-US" w:eastAsia="zh-CN"/>
        </w:rPr>
        <w:t>二</w:t>
      </w:r>
      <w:r>
        <w:rPr>
          <w:rFonts w:hint="eastAsia" w:ascii="黑体" w:hAnsi="黑体" w:eastAsia="黑体" w:cs="黑体"/>
          <w:b/>
          <w:bCs/>
          <w:sz w:val="32"/>
          <w:szCs w:val="40"/>
        </w:rPr>
        <w:t>、主要任务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（一）持续推动普惠性资源扩容增效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Style w:val="12"/>
          <w:rFonts w:hint="eastAsia" w:ascii="Times New Roman" w:hAnsi="Times New Roman" w:eastAsia="仿宋_GB2312" w:cs="Times New Roman"/>
          <w:b/>
          <w:bCs w:val="0"/>
          <w:i w:val="0"/>
          <w:iCs w:val="0"/>
          <w:caps w:val="0"/>
          <w:color w:val="222222"/>
          <w:spacing w:val="0"/>
          <w:kern w:val="0"/>
          <w:sz w:val="32"/>
          <w:szCs w:val="32"/>
          <w:shd w:val="clear" w:fill="FFFFFF"/>
          <w:lang w:val="en-US" w:eastAsia="zh-CN" w:bidi="ar"/>
        </w:rPr>
        <w:t>1.</w:t>
      </w:r>
      <w:r>
        <w:rPr>
          <w:rFonts w:hint="eastAsia" w:ascii="仿宋_GB2312" w:hAnsi="仿宋_GB2312" w:eastAsia="仿宋_GB2312" w:cs="仿宋_GB2312"/>
          <w:b/>
          <w:bCs/>
          <w:sz w:val="32"/>
          <w:szCs w:val="40"/>
        </w:rPr>
        <w:t>科学规划，增加公办资源供给。</w:t>
      </w:r>
      <w:r>
        <w:rPr>
          <w:rFonts w:hint="eastAsia" w:ascii="仿宋_GB2312" w:hAnsi="仿宋_GB2312" w:eastAsia="仿宋_GB2312" w:cs="仿宋_GB2312"/>
          <w:sz w:val="32"/>
          <w:szCs w:val="40"/>
        </w:rPr>
        <w:t>县政府将学前教育纳入教育事业发展规划，充分考虑出生人口变化、乡村振兴和城镇化发展趋势，结合三孩生育政策实施和地方实际，逐年做好入园需求测算，做好学前教育布局规划的编制工作，完善县域内普惠性幼儿园布局。加快公办幼儿园建设，</w:t>
      </w:r>
      <w:r>
        <w:rPr>
          <w:rStyle w:val="12"/>
          <w:rFonts w:hint="eastAsia" w:ascii="Times New Roman" w:hAnsi="Times New Roman" w:eastAsia="仿宋_GB2312" w:cs="Times New Roman"/>
          <w:b w:val="0"/>
          <w:bCs/>
          <w:i w:val="0"/>
          <w:iCs w:val="0"/>
          <w:caps w:val="0"/>
          <w:color w:val="222222"/>
          <w:spacing w:val="0"/>
          <w:kern w:val="0"/>
          <w:sz w:val="32"/>
          <w:szCs w:val="32"/>
          <w:shd w:val="clear" w:fill="FFFFFF"/>
          <w:lang w:val="en-US" w:eastAsia="zh-CN" w:bidi="ar"/>
        </w:rPr>
        <w:t>2022</w:t>
      </w:r>
      <w:r>
        <w:rPr>
          <w:rFonts w:hint="eastAsia" w:ascii="仿宋_GB2312" w:hAnsi="仿宋_GB2312" w:eastAsia="仿宋_GB2312" w:cs="仿宋_GB2312"/>
          <w:sz w:val="32"/>
          <w:szCs w:val="40"/>
        </w:rPr>
        <w:t>年规划新增公办园</w:t>
      </w:r>
      <w:r>
        <w:rPr>
          <w:rStyle w:val="12"/>
          <w:rFonts w:hint="eastAsia" w:ascii="Times New Roman" w:hAnsi="Times New Roman" w:eastAsia="仿宋_GB2312" w:cs="Times New Roman"/>
          <w:b w:val="0"/>
          <w:bCs/>
          <w:i w:val="0"/>
          <w:iCs w:val="0"/>
          <w:caps w:val="0"/>
          <w:color w:val="222222"/>
          <w:spacing w:val="0"/>
          <w:kern w:val="0"/>
          <w:sz w:val="32"/>
          <w:szCs w:val="32"/>
          <w:shd w:val="clear" w:fill="FFFFFF"/>
          <w:lang w:val="en-US" w:eastAsia="zh-CN" w:bidi="ar"/>
        </w:rPr>
        <w:t>1</w:t>
      </w:r>
      <w:r>
        <w:rPr>
          <w:rFonts w:hint="eastAsia" w:ascii="仿宋_GB2312" w:hAnsi="仿宋_GB2312" w:eastAsia="仿宋_GB2312" w:cs="仿宋_GB2312"/>
          <w:sz w:val="32"/>
          <w:szCs w:val="40"/>
        </w:rPr>
        <w:t>所，</w:t>
      </w:r>
      <w:r>
        <w:rPr>
          <w:rStyle w:val="12"/>
          <w:rFonts w:hint="eastAsia" w:ascii="Times New Roman" w:hAnsi="Times New Roman" w:eastAsia="仿宋_GB2312" w:cs="Times New Roman"/>
          <w:b w:val="0"/>
          <w:bCs/>
          <w:i w:val="0"/>
          <w:iCs w:val="0"/>
          <w:caps w:val="0"/>
          <w:color w:val="222222"/>
          <w:spacing w:val="0"/>
          <w:kern w:val="0"/>
          <w:sz w:val="32"/>
          <w:szCs w:val="32"/>
          <w:shd w:val="clear" w:fill="FFFFFF"/>
          <w:lang w:val="en-US" w:eastAsia="zh-CN" w:bidi="ar"/>
        </w:rPr>
        <w:t>2024</w:t>
      </w:r>
      <w:r>
        <w:rPr>
          <w:rFonts w:hint="eastAsia" w:ascii="仿宋_GB2312" w:hAnsi="仿宋_GB2312" w:eastAsia="仿宋_GB2312" w:cs="仿宋_GB2312"/>
          <w:sz w:val="32"/>
          <w:szCs w:val="40"/>
        </w:rPr>
        <w:t>年秋季投入使用。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县发展和改革委员会、</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县自然资源局、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县住房和城乡建设局、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Style w:val="12"/>
          <w:rFonts w:hint="eastAsia" w:ascii="Times New Roman" w:hAnsi="Times New Roman" w:eastAsia="仿宋_GB2312" w:cs="Times New Roman"/>
          <w:b/>
          <w:bCs w:val="0"/>
          <w:i w:val="0"/>
          <w:iCs w:val="0"/>
          <w:caps w:val="0"/>
          <w:color w:val="222222"/>
          <w:spacing w:val="0"/>
          <w:kern w:val="0"/>
          <w:sz w:val="32"/>
          <w:szCs w:val="32"/>
          <w:shd w:val="clear" w:fill="FFFFFF"/>
          <w:lang w:val="en-US" w:eastAsia="zh-CN" w:bidi="ar"/>
        </w:rPr>
        <w:t>2.</w:t>
      </w:r>
      <w:r>
        <w:rPr>
          <w:rFonts w:hint="eastAsia" w:ascii="仿宋_GB2312" w:hAnsi="仿宋_GB2312" w:eastAsia="仿宋_GB2312" w:cs="仿宋_GB2312"/>
          <w:b/>
          <w:bCs/>
          <w:sz w:val="32"/>
          <w:szCs w:val="40"/>
        </w:rPr>
        <w:t>完善农村学前教育资源布局，推进教育公平。</w:t>
      </w:r>
      <w:r>
        <w:rPr>
          <w:rFonts w:hint="eastAsia" w:ascii="仿宋_GB2312" w:hAnsi="仿宋_GB2312" w:eastAsia="仿宋_GB2312" w:cs="仿宋_GB2312"/>
          <w:sz w:val="32"/>
          <w:szCs w:val="40"/>
        </w:rPr>
        <w:t>办好乡镇公办中心幼儿园，充分发挥乡镇中心幼儿园的辐射指导作用，满足农村适龄儿童入园需求。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县发展和改革委员会、</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县自然资源局、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（二）健全经费投入与成本分担机制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default" w:ascii="Times New Roman" w:hAnsi="Times New Roman" w:eastAsia="仿宋_GB2312" w:cs="Times New Roman"/>
          <w:b/>
          <w:bCs/>
          <w:sz w:val="32"/>
          <w:szCs w:val="40"/>
          <w:lang w:val="en-US" w:eastAsia="zh-CN"/>
        </w:rPr>
        <w:t>3</w:t>
      </w:r>
      <w:r>
        <w:rPr>
          <w:rFonts w:hint="default" w:ascii="Times New Roman" w:hAnsi="Times New Roman" w:eastAsia="仿宋_GB2312" w:cs="Times New Roman"/>
          <w:b/>
          <w:bCs/>
          <w:sz w:val="32"/>
          <w:szCs w:val="40"/>
        </w:rPr>
        <w:t>.</w:t>
      </w:r>
      <w:r>
        <w:rPr>
          <w:rFonts w:hint="eastAsia" w:ascii="仿宋_GB2312" w:hAnsi="仿宋_GB2312" w:eastAsia="仿宋_GB2312" w:cs="仿宋_GB2312"/>
          <w:b/>
          <w:bCs/>
          <w:sz w:val="32"/>
          <w:szCs w:val="40"/>
        </w:rPr>
        <w:t>优化完善财政补助政策，逐步提高学前教育财政投入水平。</w:t>
      </w:r>
      <w:r>
        <w:rPr>
          <w:rFonts w:hint="eastAsia" w:ascii="仿宋_GB2312" w:hAnsi="仿宋_GB2312" w:eastAsia="仿宋_GB2312" w:cs="仿宋_GB2312"/>
          <w:sz w:val="32"/>
          <w:szCs w:val="40"/>
        </w:rPr>
        <w:t>进一步完善幼儿园收费管理办法，落实幼儿园补助标准，保障学前教育可持续发展。加强幼儿园收费监管，坚决遏制过高收费和过度逐利行为。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县发展和改革委员会、</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县财政局、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4.</w:t>
      </w:r>
      <w:r>
        <w:rPr>
          <w:rFonts w:hint="eastAsia" w:ascii="仿宋_GB2312" w:hAnsi="仿宋_GB2312" w:eastAsia="仿宋_GB2312" w:cs="仿宋_GB2312"/>
          <w:b/>
          <w:bCs/>
          <w:sz w:val="32"/>
          <w:szCs w:val="40"/>
        </w:rPr>
        <w:t>健全学前教育资助制度。</w:t>
      </w:r>
      <w:r>
        <w:rPr>
          <w:rFonts w:hint="eastAsia" w:ascii="仿宋_GB2312" w:hAnsi="仿宋_GB2312" w:eastAsia="仿宋_GB2312" w:cs="仿宋_GB2312"/>
          <w:sz w:val="32"/>
          <w:szCs w:val="40"/>
        </w:rPr>
        <w:t>调整完善学前教育资助制度，对普惠性幼儿园就读的家庭经济困难儿童予以减免保教费。家庭经济困难儿童根据自治区教育厅等八部门出台的《</w:t>
      </w:r>
      <w:r>
        <w:rPr>
          <w:rFonts w:hint="eastAsia" w:ascii="仿宋_GB2312" w:hAnsi="仿宋_GB2312" w:eastAsia="仿宋_GB2312" w:cs="仿宋_GB2312"/>
          <w:sz w:val="32"/>
          <w:szCs w:val="40"/>
          <w:lang w:val="en-US" w:eastAsia="zh-CN"/>
        </w:rPr>
        <w:t>新疆维吾尔</w:t>
      </w:r>
      <w:r>
        <w:rPr>
          <w:rFonts w:hint="eastAsia" w:ascii="仿宋_GB2312" w:hAnsi="仿宋_GB2312" w:eastAsia="仿宋_GB2312" w:cs="仿宋_GB2312"/>
          <w:sz w:val="32"/>
          <w:szCs w:val="40"/>
        </w:rPr>
        <w:t>自治区家庭经济困难学生认定工作实施办法》进行认定。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县发展和改革委员会、</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县财政局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（三）切实保障幼儿园教师队伍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5.</w:t>
      </w:r>
      <w:r>
        <w:rPr>
          <w:rFonts w:hint="eastAsia" w:ascii="仿宋_GB2312" w:hAnsi="仿宋_GB2312" w:eastAsia="仿宋_GB2312" w:cs="仿宋_GB2312"/>
          <w:b/>
          <w:bCs/>
          <w:sz w:val="32"/>
          <w:szCs w:val="40"/>
        </w:rPr>
        <w:t>加强和改进师德师风建设。</w:t>
      </w:r>
      <w:r>
        <w:rPr>
          <w:rFonts w:hint="eastAsia" w:ascii="仿宋_GB2312" w:hAnsi="仿宋_GB2312" w:eastAsia="仿宋_GB2312" w:cs="仿宋_GB2312"/>
          <w:sz w:val="32"/>
          <w:szCs w:val="40"/>
        </w:rPr>
        <w:t>常态化培育师德涵养，大力提升教师职业道德素养。落实师德师风第一标准，将师德考核摆在教师考核的首要位置。完善教师荣誉表彰制度，开展多层次的优秀教师选树宣传活动。深入落实新时代幼儿园教师职业行为十项准则和幼儿园教师违反职业道德行为处理办法，严格师德失范行为惩处。对出现虐童、体罚及变相体罚等严重师德失范行为的幼儿园，</w:t>
      </w:r>
      <w:r>
        <w:rPr>
          <w:rFonts w:hint="eastAsia" w:ascii="仿宋_GB2312" w:hAnsi="仿宋_GB2312" w:eastAsia="仿宋_GB2312" w:cs="仿宋_GB2312"/>
          <w:sz w:val="32"/>
          <w:szCs w:val="40"/>
          <w:lang w:val="en-US" w:eastAsia="zh-CN"/>
        </w:rPr>
        <w:t>年度考核中</w:t>
      </w:r>
      <w:r>
        <w:rPr>
          <w:rFonts w:hint="eastAsia" w:ascii="仿宋_GB2312" w:hAnsi="仿宋_GB2312" w:eastAsia="仿宋_GB2312" w:cs="仿宋_GB2312"/>
          <w:sz w:val="32"/>
          <w:szCs w:val="40"/>
        </w:rPr>
        <w:t>实行一票否决，对涉事教职工、管理者和举办者依法追究法律责任。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县人力资源和社会保障局、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县公安局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6.</w:t>
      </w:r>
      <w:r>
        <w:rPr>
          <w:rFonts w:hint="eastAsia" w:ascii="仿宋_GB2312" w:hAnsi="仿宋_GB2312" w:eastAsia="仿宋_GB2312" w:cs="仿宋_GB2312"/>
          <w:b/>
          <w:bCs/>
          <w:sz w:val="32"/>
          <w:szCs w:val="40"/>
        </w:rPr>
        <w:t>加强和改进教师队伍管理</w:t>
      </w:r>
      <w:r>
        <w:rPr>
          <w:rFonts w:hint="eastAsia" w:ascii="仿宋_GB2312" w:hAnsi="仿宋_GB2312" w:eastAsia="仿宋_GB2312" w:cs="仿宋_GB2312"/>
          <w:sz w:val="32"/>
          <w:szCs w:val="40"/>
        </w:rPr>
        <w:t>。科学合理核定公办园教职工编制，实行公办幼儿园人员总量管理，核定控制数作为编制补充，及时招聘补充公办园教职工。严格规范教师聘用，注重考察招聘引进教师的思想政治和师德师风情况，将思想政治和师德要求纳入教师聘用合同，把好教师队伍入口关。推进教师资源数字化建设和教师队伍数字化管理，深入应用全国教师管理信息系统，完善教师基础数据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县人力资源和社会保障局、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县财政局、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县编制委员会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7.</w:t>
      </w:r>
      <w:r>
        <w:rPr>
          <w:rFonts w:hint="eastAsia" w:ascii="仿宋_GB2312" w:hAnsi="仿宋_GB2312" w:eastAsia="仿宋_GB2312" w:cs="仿宋_GB2312"/>
          <w:b/>
          <w:bCs/>
          <w:sz w:val="32"/>
          <w:szCs w:val="40"/>
        </w:rPr>
        <w:t>强和改进教师培养培训。</w:t>
      </w:r>
      <w:r>
        <w:rPr>
          <w:rFonts w:hint="eastAsia" w:ascii="仿宋_GB2312" w:hAnsi="仿宋_GB2312" w:eastAsia="仿宋_GB2312" w:cs="仿宋_GB2312"/>
          <w:sz w:val="32"/>
          <w:szCs w:val="40"/>
        </w:rPr>
        <w:t>制定幼儿园</w:t>
      </w:r>
      <w:r>
        <w:rPr>
          <w:rFonts w:hint="eastAsia" w:ascii="仿宋_GB2312" w:hAnsi="仿宋_GB2312" w:eastAsia="仿宋_GB2312" w:cs="仿宋_GB2312"/>
          <w:sz w:val="32"/>
          <w:szCs w:val="40"/>
          <w:lang w:val="en-US" w:eastAsia="zh-CN"/>
        </w:rPr>
        <w:t>书记、</w:t>
      </w:r>
      <w:r>
        <w:rPr>
          <w:rFonts w:hint="eastAsia" w:ascii="仿宋_GB2312" w:hAnsi="仿宋_GB2312" w:eastAsia="仿宋_GB2312" w:cs="仿宋_GB2312"/>
          <w:sz w:val="32"/>
          <w:szCs w:val="40"/>
        </w:rPr>
        <w:t>园长、教师全员培训规划，开展幼儿园</w:t>
      </w:r>
      <w:r>
        <w:rPr>
          <w:rFonts w:hint="eastAsia" w:ascii="仿宋_GB2312" w:hAnsi="仿宋_GB2312" w:eastAsia="仿宋_GB2312" w:cs="仿宋_GB2312"/>
          <w:sz w:val="32"/>
          <w:szCs w:val="40"/>
          <w:lang w:val="en-US" w:eastAsia="zh-CN"/>
        </w:rPr>
        <w:t>书记、</w:t>
      </w:r>
      <w:r>
        <w:rPr>
          <w:rFonts w:hint="eastAsia" w:ascii="仿宋_GB2312" w:hAnsi="仿宋_GB2312" w:eastAsia="仿宋_GB2312" w:cs="仿宋_GB2312"/>
          <w:sz w:val="32"/>
          <w:szCs w:val="40"/>
        </w:rPr>
        <w:t>园长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教师分层培训，加大对农村幼儿园教师培养力度。创新幼儿园教师培训模式，突出实践导向，采取集中培训与跟岗实践相结合的方式培训幼儿园教师。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县卫生健康委员会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8.</w:t>
      </w:r>
      <w:r>
        <w:rPr>
          <w:rFonts w:hint="eastAsia" w:ascii="仿宋_GB2312" w:hAnsi="仿宋_GB2312" w:eastAsia="仿宋_GB2312" w:cs="仿宋_GB2312"/>
          <w:b/>
          <w:bCs/>
          <w:sz w:val="32"/>
          <w:szCs w:val="40"/>
        </w:rPr>
        <w:t>保障幼儿园教师工资待遇。</w:t>
      </w:r>
      <w:r>
        <w:rPr>
          <w:rFonts w:hint="eastAsia" w:ascii="仿宋_GB2312" w:hAnsi="仿宋_GB2312" w:eastAsia="仿宋_GB2312" w:cs="仿宋_GB2312"/>
          <w:sz w:val="32"/>
          <w:szCs w:val="40"/>
        </w:rPr>
        <w:t>落实公办园教师工资待遇保障政策，统筹工资收入政策、经费支出渠道，确保教师工资及时足额发放、同工同酬。结合实际按照政府购买服务范围的规定，将公办园中保育、安保、食堂等服务纳入政府购买服务范围，所需资金从县财政预算中统筹安排，公办园和承接主体应当依法保障相关劳动者权益。各类幼儿园教职工依法全员纳入社会保障体系，畅通缴费渠道，校办幼儿园由小学代缴。各类幼儿园依法依规足额足项为教职工缴纳社会保险和住房公积金，社会保障、医疗保障、税务等有关主管部门依法依规对幼儿园教职工缴纳社保情况组织检查，积极开展医保参保宣传进校园等活动，切实保障教职工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县财政局、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县人力资源和社会保障局、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县医疗保障局、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lang w:eastAsia="zh-CN"/>
        </w:rPr>
        <w:t>（</w:t>
      </w:r>
      <w:r>
        <w:rPr>
          <w:rFonts w:hint="eastAsia" w:ascii="楷体_GB2312" w:hAnsi="楷体_GB2312" w:eastAsia="楷体_GB2312" w:cs="楷体_GB2312"/>
          <w:b/>
          <w:bCs/>
          <w:sz w:val="32"/>
          <w:szCs w:val="40"/>
          <w:lang w:val="en-US" w:eastAsia="zh-CN"/>
        </w:rPr>
        <w:t>四）</w:t>
      </w:r>
      <w:r>
        <w:rPr>
          <w:rFonts w:hint="eastAsia" w:ascii="楷体_GB2312" w:hAnsi="楷体_GB2312" w:eastAsia="楷体_GB2312" w:cs="楷体_GB2312"/>
          <w:b/>
          <w:bCs/>
          <w:sz w:val="32"/>
          <w:szCs w:val="40"/>
        </w:rPr>
        <w:t>强化幼儿园安全保障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9.</w:t>
      </w:r>
      <w:r>
        <w:rPr>
          <w:rFonts w:hint="eastAsia" w:ascii="仿宋_GB2312" w:hAnsi="仿宋_GB2312" w:eastAsia="仿宋_GB2312" w:cs="仿宋_GB2312"/>
          <w:b/>
          <w:bCs/>
          <w:sz w:val="32"/>
          <w:szCs w:val="40"/>
        </w:rPr>
        <w:t>落实幼儿园安全主体责任。</w:t>
      </w:r>
      <w:r>
        <w:rPr>
          <w:rFonts w:hint="eastAsia" w:ascii="仿宋_GB2312" w:hAnsi="仿宋_GB2312" w:eastAsia="仿宋_GB2312" w:cs="仿宋_GB2312"/>
          <w:sz w:val="32"/>
          <w:szCs w:val="40"/>
        </w:rPr>
        <w:t>幼儿园健全安全领导组织机构和日常安全管理制度，完善突发事件应急处置预案，建立校舍、消防、教育教学设备、门卫、食品药品、幼儿接送交接、幼儿就寝值守和活动组织等安全防护和检查制度，定期组织安全隐患排查，开展应急疏散演练，严防各类安全事故发生。加强人防、物防、技防建设，专职保安配备、一键式紧急报警、视频监控装置配备和全封闭管理全面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县公安局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10.</w:t>
      </w:r>
      <w:r>
        <w:rPr>
          <w:rFonts w:hint="eastAsia" w:ascii="仿宋_GB2312" w:hAnsi="仿宋_GB2312" w:eastAsia="仿宋_GB2312" w:cs="仿宋_GB2312"/>
          <w:b/>
          <w:bCs/>
          <w:sz w:val="32"/>
          <w:szCs w:val="40"/>
        </w:rPr>
        <w:t>加强警校联防联控。</w:t>
      </w:r>
      <w:r>
        <w:rPr>
          <w:rFonts w:hint="eastAsia" w:ascii="仿宋_GB2312" w:hAnsi="仿宋_GB2312" w:eastAsia="仿宋_GB2312" w:cs="仿宋_GB2312"/>
          <w:sz w:val="32"/>
          <w:szCs w:val="40"/>
        </w:rPr>
        <w:t>公安机关优化上下学时段幼儿园周边“高峰勤务”机制，加强幼儿园及周边安全风险防控和警务联络室建设，开展幼儿园周边重点巡防，组织公安民警、警务辅助人员、学校保卫人员、教职员工和群防群治力量落实好幼儿园“护学岗”机制。县教育部门会同有关部门建立健全幼儿园安全日常监管、重大隐患督办、约谈通报等工作机制，及时通报幼儿园安全风险，定期组织开展联合检查和集中整治，落实监督检查常态化措施，确保幼儿园安全运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县公安局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（五）强化监督管理，规范幼儿园办园行为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11.</w:t>
      </w:r>
      <w:r>
        <w:rPr>
          <w:rFonts w:hint="eastAsia" w:ascii="仿宋_GB2312" w:hAnsi="仿宋_GB2312" w:eastAsia="仿宋_GB2312" w:cs="仿宋_GB2312"/>
          <w:b/>
          <w:bCs/>
          <w:sz w:val="32"/>
          <w:szCs w:val="40"/>
        </w:rPr>
        <w:t>落实监管责任，加大监管力度。</w:t>
      </w:r>
      <w:r>
        <w:rPr>
          <w:rFonts w:hint="eastAsia" w:ascii="仿宋_GB2312" w:hAnsi="仿宋_GB2312" w:eastAsia="仿宋_GB2312" w:cs="仿宋_GB2312"/>
          <w:sz w:val="32"/>
          <w:szCs w:val="40"/>
        </w:rPr>
        <w:t>落实县级人民政府和各有关部门的监督管理责任，完善动态监管机制，提升跨部门协同治理能力，强化对幼儿园办园条件、教师资格与配备、安全防护、收费行为、卫生保健、保育教育、财务管理等各方面的动态监管。逐步化解和消除学前教育“大班额”现象。完善幼儿园信息备案及公示制度，各类幼儿园的基本信息纳入政务信息系统管理，并由教育部门定期向社会公布幼儿园教职工配备、收费标准、质量评估等方面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县市场监督管理局、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12.</w:t>
      </w:r>
      <w:r>
        <w:rPr>
          <w:rFonts w:hint="eastAsia" w:ascii="仿宋_GB2312" w:hAnsi="仿宋_GB2312" w:eastAsia="仿宋_GB2312" w:cs="仿宋_GB2312"/>
          <w:b/>
          <w:bCs/>
          <w:sz w:val="32"/>
          <w:szCs w:val="40"/>
        </w:rPr>
        <w:t>加强办园行为督导，规范幼儿园招生和宣传。</w:t>
      </w:r>
      <w:r>
        <w:rPr>
          <w:rFonts w:hint="eastAsia" w:ascii="仿宋_GB2312" w:hAnsi="仿宋_GB2312" w:eastAsia="仿宋_GB2312" w:cs="仿宋_GB2312"/>
          <w:sz w:val="32"/>
          <w:szCs w:val="40"/>
        </w:rPr>
        <w:t>教育督导部门依据《</w:t>
      </w:r>
      <w:r>
        <w:rPr>
          <w:rFonts w:hint="eastAsia" w:ascii="仿宋_GB2312" w:hAnsi="仿宋_GB2312" w:eastAsia="仿宋_GB2312" w:cs="仿宋_GB2312"/>
          <w:sz w:val="32"/>
          <w:szCs w:val="40"/>
          <w:lang w:val="en-US" w:eastAsia="zh-CN"/>
        </w:rPr>
        <w:t>新疆维吾尔</w:t>
      </w:r>
      <w:r>
        <w:rPr>
          <w:rFonts w:hint="eastAsia" w:ascii="仿宋_GB2312" w:hAnsi="仿宋_GB2312" w:eastAsia="仿宋_GB2312" w:cs="仿宋_GB2312"/>
          <w:sz w:val="32"/>
          <w:szCs w:val="40"/>
        </w:rPr>
        <w:t>自治区幼儿园办园行为督导评估实施方案》,围绕办园条件、安全卫生、保育教育、教职工队伍等内容开展督导评估，特别是重点对存在危房、“三防”不达标等安全隐患及园长和教职工不具备规定资格等不规范办园行为进行动态督查，限期整改，整改不到位的依法进行处罚。教育行政部门完善幼儿园招生管理办法，按照就近入园的原则，科学布局幼儿园网点，统筹安排招生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禁虚假宣传，清理审查幼儿园荣誉奖牌、宣传牌匾，凡虚假荣誉奖牌及非法宣传牌匾一律撤下不得悬挂，各幼儿园招生广告要按相关规定在教育行政部门备案。持续开展幼儿园名称规范清理行动，对未经批准冠以“中国”“中华”“全国”“国际”“世界”“全球”等字样，包含外语词、外国国名、地名，使用“双语”“艺术”“国学”“私塾”等片面强调课程特色以及带有宗教色彩的名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（六）深化幼儿园教育改革，助推保教质量提档升级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13.</w:t>
      </w:r>
      <w:r>
        <w:rPr>
          <w:rFonts w:hint="eastAsia" w:ascii="仿宋_GB2312" w:hAnsi="仿宋_GB2312" w:eastAsia="仿宋_GB2312" w:cs="仿宋_GB2312"/>
          <w:b/>
          <w:bCs/>
          <w:sz w:val="32"/>
          <w:szCs w:val="40"/>
        </w:rPr>
        <w:t>使用国家通用语言文字开展保育教育活动。</w:t>
      </w:r>
      <w:r>
        <w:rPr>
          <w:rFonts w:hint="eastAsia" w:ascii="仿宋_GB2312" w:hAnsi="仿宋_GB2312" w:eastAsia="仿宋_GB2312" w:cs="仿宋_GB2312"/>
          <w:sz w:val="32"/>
          <w:szCs w:val="40"/>
        </w:rPr>
        <w:t>推进学前儿童普通话教育，遵循学前教育规律，根据幼儿的年龄特点和心理特征，通过游戏、体验的方式，开展国家通用语言文字会话、交流、倾听等保教活动，培养幼儿想说、敢说、喜欢说普通话的意识和习惯，推进学前儿童学会说普通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14.</w:t>
      </w:r>
      <w:r>
        <w:rPr>
          <w:rFonts w:hint="eastAsia" w:ascii="仿宋_GB2312" w:hAnsi="仿宋_GB2312" w:eastAsia="仿宋_GB2312" w:cs="仿宋_GB2312"/>
          <w:b/>
          <w:bCs/>
          <w:sz w:val="32"/>
          <w:szCs w:val="40"/>
        </w:rPr>
        <w:t>坚持游戏为基本活动，实施科学保教。</w:t>
      </w:r>
      <w:r>
        <w:rPr>
          <w:rFonts w:hint="eastAsia" w:ascii="仿宋_GB2312" w:hAnsi="仿宋_GB2312" w:eastAsia="仿宋_GB2312" w:cs="仿宋_GB2312"/>
          <w:sz w:val="32"/>
          <w:szCs w:val="40"/>
        </w:rPr>
        <w:t>深入贯彻落实《</w:t>
      </w:r>
      <w:r>
        <w:rPr>
          <w:rFonts w:hint="eastAsia" w:ascii="Times New Roman" w:hAnsi="Times New Roman" w:eastAsia="仿宋_GB2312" w:cs="Times New Roman"/>
          <w:b/>
          <w:bCs/>
          <w:sz w:val="32"/>
          <w:szCs w:val="40"/>
          <w:lang w:val="en-US" w:eastAsia="zh-CN"/>
        </w:rPr>
        <w:t>3</w:t>
      </w:r>
      <w:r>
        <w:rPr>
          <w:rFonts w:hint="eastAsia" w:eastAsia="仿宋_GB2312" w:cs="Times New Roman"/>
          <w:b/>
          <w:bCs/>
          <w:sz w:val="32"/>
          <w:szCs w:val="40"/>
          <w:lang w:val="en-US" w:eastAsia="zh-CN"/>
        </w:rPr>
        <w:t>-</w:t>
      </w:r>
      <w:r>
        <w:rPr>
          <w:rFonts w:hint="eastAsia" w:ascii="Times New Roman" w:hAnsi="Times New Roman" w:eastAsia="仿宋_GB2312" w:cs="Times New Roman"/>
          <w:b/>
          <w:bCs/>
          <w:sz w:val="32"/>
          <w:szCs w:val="40"/>
          <w:lang w:val="en-US" w:eastAsia="zh-CN"/>
        </w:rPr>
        <w:t>6</w:t>
      </w:r>
      <w:r>
        <w:rPr>
          <w:rFonts w:hint="eastAsia" w:ascii="仿宋_GB2312" w:hAnsi="仿宋_GB2312" w:eastAsia="仿宋_GB2312" w:cs="仿宋_GB2312"/>
          <w:sz w:val="32"/>
          <w:szCs w:val="40"/>
        </w:rPr>
        <w:t>岁儿童学习与发展指南》《幼儿园教育指导纲要》，深化幼儿园教育改革，以先进的实践经验为引领，切实转变教师观念和行为，促进幼儿在快乐的童年生活中获得有益身心的学习和发展经验，提升教师职业成就感。教育部门要坚持本土化，结合我县学前教育发展实际情况、地域特色、人文环境、季节特征等，推动以儿童全面发展为本的保育教育实践，充分利用本土资源、地区优势创设适宜的环境，扎实推进幼儿园课程改革，探索符合地方实际的经验。要以“安吉游戏”试点园为引领，充分发挥示范带动作用，全面推广“安吉游戏”,促进我县学前教育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15.</w:t>
      </w:r>
      <w:r>
        <w:rPr>
          <w:rFonts w:hint="eastAsia" w:ascii="仿宋_GB2312" w:hAnsi="仿宋_GB2312" w:eastAsia="仿宋_GB2312" w:cs="仿宋_GB2312"/>
          <w:b/>
          <w:bCs/>
          <w:sz w:val="32"/>
          <w:szCs w:val="40"/>
        </w:rPr>
        <w:t>深入推进建立幼小科学衔接机制。</w:t>
      </w:r>
      <w:r>
        <w:rPr>
          <w:rFonts w:hint="eastAsia" w:ascii="仿宋_GB2312" w:hAnsi="仿宋_GB2312" w:eastAsia="仿宋_GB2312" w:cs="仿宋_GB2312"/>
          <w:sz w:val="32"/>
          <w:szCs w:val="40"/>
        </w:rPr>
        <w:t>深入贯彻《教育部关于大力推进幼儿园与小学科学衔接的指导意见》，落实《</w:t>
      </w:r>
      <w:r>
        <w:rPr>
          <w:rFonts w:hint="eastAsia" w:ascii="仿宋_GB2312" w:hAnsi="仿宋_GB2312" w:eastAsia="仿宋_GB2312" w:cs="仿宋_GB2312"/>
          <w:sz w:val="32"/>
          <w:szCs w:val="40"/>
          <w:lang w:val="en-US" w:eastAsia="zh-CN"/>
        </w:rPr>
        <w:t>巴里坤县</w:t>
      </w:r>
      <w:r>
        <w:rPr>
          <w:rFonts w:hint="eastAsia" w:ascii="仿宋_GB2312" w:hAnsi="仿宋_GB2312" w:eastAsia="仿宋_GB2312" w:cs="仿宋_GB2312"/>
          <w:sz w:val="32"/>
          <w:szCs w:val="40"/>
        </w:rPr>
        <w:t>推进幼儿园与小学科学衔接实施方案》，强化幼儿园和小学双向科学衔接，在幼儿园做好入学准备教育，在小学开展入学适应教育。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16.</w:t>
      </w:r>
      <w:r>
        <w:rPr>
          <w:rFonts w:hint="eastAsia" w:ascii="仿宋_GB2312" w:hAnsi="仿宋_GB2312" w:eastAsia="仿宋_GB2312" w:cs="仿宋_GB2312"/>
          <w:b/>
          <w:bCs/>
          <w:sz w:val="32"/>
          <w:szCs w:val="40"/>
        </w:rPr>
        <w:t>配齐学前教育教研员，提升教研水平。</w:t>
      </w:r>
      <w:r>
        <w:rPr>
          <w:rFonts w:hint="eastAsia" w:ascii="仿宋_GB2312" w:hAnsi="仿宋_GB2312" w:eastAsia="仿宋_GB2312" w:cs="仿宋_GB2312"/>
          <w:sz w:val="32"/>
          <w:szCs w:val="40"/>
        </w:rPr>
        <w:t>要加强学前教育教研工作，建设一支高素质专业化学前教研队伍。教研工作开展要聚焦解决实践问题，坚持教研为幼儿园教育实践、教师专业发展和教育管理决策服务。进一步完善教研指导责任区、区域教研和园本教研制度，实现各类幼儿园教研指导全覆盖。区域教研、园本教研着重围绕保教和游戏案例研讨儿童学习发展的支持策略。教研人员要深入幼儿园，以研究幼儿游戏为突破口，确定研究专题，及时解决教师在实践中的困惑与问题，总结推广好的经验做法，提升教研指导工作质量。要充分发挥城镇优质幼儿园和乡镇中心幼儿园的辐射指导作用，推动我县保教质量整体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Times New Roman"/>
          <w:b/>
          <w:bCs/>
          <w:sz w:val="32"/>
          <w:szCs w:val="40"/>
          <w:lang w:val="en-US" w:eastAsia="zh-CN"/>
        </w:rPr>
        <w:t>17.</w:t>
      </w:r>
      <w:r>
        <w:rPr>
          <w:rFonts w:hint="eastAsia" w:ascii="仿宋_GB2312" w:hAnsi="仿宋_GB2312" w:eastAsia="仿宋_GB2312" w:cs="仿宋_GB2312"/>
          <w:b/>
          <w:bCs/>
          <w:sz w:val="32"/>
          <w:szCs w:val="40"/>
        </w:rPr>
        <w:t>推动家园共育。</w:t>
      </w:r>
      <w:r>
        <w:rPr>
          <w:rFonts w:hint="eastAsia" w:ascii="仿宋_GB2312" w:hAnsi="仿宋_GB2312" w:eastAsia="仿宋_GB2312" w:cs="仿宋_GB2312"/>
          <w:sz w:val="32"/>
          <w:szCs w:val="40"/>
        </w:rPr>
        <w:t>落实《中华人民共和国家庭教育促进法》，建立健全家长学校工作机制，通过家长课堂、亲子活动日等方式，利用互联网等信息化手段，广泛宣传推广科学育儿理念。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责任单位：</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县教育局、</w:t>
      </w:r>
      <w:r>
        <w:rPr>
          <w:rFonts w:hint="eastAsia" w:ascii="仿宋_GB2312" w:hAnsi="仿宋_GB2312" w:eastAsia="仿宋_GB2312" w:cs="仿宋_GB2312"/>
          <w:sz w:val="32"/>
          <w:szCs w:val="40"/>
          <w:lang w:val="en-US" w:eastAsia="zh-CN"/>
        </w:rPr>
        <w:t>巴里坤</w:t>
      </w:r>
      <w:r>
        <w:rPr>
          <w:rFonts w:hint="eastAsia" w:ascii="仿宋_GB2312" w:hAnsi="仿宋_GB2312" w:eastAsia="仿宋_GB2312" w:cs="仿宋_GB2312"/>
          <w:sz w:val="32"/>
          <w:szCs w:val="40"/>
        </w:rPr>
        <w:t>县妇女联合会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黑体" w:hAnsi="黑体" w:eastAsia="黑体" w:cs="黑体"/>
          <w:b/>
          <w:bCs/>
          <w:sz w:val="32"/>
          <w:szCs w:val="40"/>
        </w:rPr>
        <w:t>三、保障实施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（一）加强组织领导。</w:t>
      </w:r>
      <w:r>
        <w:rPr>
          <w:rFonts w:hint="eastAsia" w:ascii="仿宋_GB2312" w:hAnsi="仿宋_GB2312" w:eastAsia="仿宋_GB2312" w:cs="仿宋_GB2312"/>
          <w:sz w:val="32"/>
          <w:szCs w:val="40"/>
        </w:rPr>
        <w:t>加强党对学前教育工作的全面领导，完善党委领导、政府统筹、教育部门牵头、有关部门分工负责的学前教育工作机制，建立任务清单，科学确定学前教育发展目标、重点任务、重要举措，并列入县政府工作重要议事日程，压实各方责任，研究解决提升行动计划中的重大问题，确保落实学前教育规划、投入、保障、监管等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40"/>
        </w:rPr>
        <w:t>（二）强化督导考核。</w:t>
      </w:r>
      <w:r>
        <w:rPr>
          <w:rFonts w:hint="eastAsia" w:ascii="仿宋_GB2312" w:hAnsi="仿宋_GB2312" w:eastAsia="仿宋_GB2312" w:cs="仿宋_GB2312"/>
          <w:sz w:val="32"/>
          <w:szCs w:val="40"/>
        </w:rPr>
        <w:t>扎实推进县域学前教育普及普惠发展督导评估工作，完善督导问责机制。将推进学前教育普及普惠、深化体制机制改革、提升保教质量、完善投入保障政策等情况，纳入对各部门工作的绩效考核，有效促进学前教育普及普惠安全优质发展。</w:t>
      </w:r>
    </w:p>
    <w:p>
      <w:pPr>
        <w:keepNext w:val="0"/>
        <w:keepLines w:val="0"/>
        <w:pageBreakBefore w:val="0"/>
        <w:widowControl w:val="0"/>
        <w:tabs>
          <w:tab w:val="left" w:pos="11235"/>
        </w:tabs>
        <w:kinsoku/>
        <w:wordWrap/>
        <w:overflowPunct/>
        <w:topLinePunct w:val="0"/>
        <w:autoSpaceDE/>
        <w:autoSpaceDN/>
        <w:bidi w:val="0"/>
        <w:adjustRightInd/>
        <w:snapToGrid/>
        <w:spacing w:line="560" w:lineRule="exact"/>
        <w:ind w:firstLine="642" w:firstLineChars="200"/>
        <w:jc w:val="left"/>
        <w:textAlignment w:val="auto"/>
        <w:outlineLvl w:val="0"/>
        <w:rPr>
          <w:rFonts w:hint="eastAsia" w:eastAsia="仿宋" w:cs="Times New Roman"/>
          <w:kern w:val="21"/>
          <w:sz w:val="30"/>
          <w:szCs w:val="30"/>
          <w:lang w:val="en-US" w:eastAsia="zh-CN"/>
        </w:rPr>
      </w:pPr>
      <w:r>
        <w:rPr>
          <w:rFonts w:hint="eastAsia" w:ascii="楷体_GB2312" w:hAnsi="楷体_GB2312" w:eastAsia="楷体_GB2312" w:cs="楷体_GB2312"/>
          <w:b/>
          <w:bCs/>
          <w:sz w:val="32"/>
          <w:szCs w:val="40"/>
          <w:lang w:val="en-US" w:eastAsia="zh-CN"/>
        </w:rPr>
        <w:t>（三）营造良好氛围。</w:t>
      </w:r>
      <w:r>
        <w:rPr>
          <w:rFonts w:hint="eastAsia" w:ascii="仿宋_GB2312" w:hAnsi="仿宋_GB2312" w:eastAsia="仿宋_GB2312" w:cs="仿宋_GB2312"/>
          <w:sz w:val="32"/>
          <w:szCs w:val="32"/>
          <w:lang w:val="en-US" w:eastAsia="zh-CN"/>
        </w:rPr>
        <w:t>每年以“学前教育宣传月”为契机,加大社会宣传力度,广泛利用多种媒体组织开展学前教育相关法律法规及政策宣传、先进典型展播等多种形式的活动。鼓励幼儿园通过举办家长讲座、亲子游戏、致家长一封信、公众号等多种形式,传播科学育儿理念和知识,宣传科学保教的成果经验,持续营造全社会关心支持学前教育改革发展的良好氛围。</w:t>
      </w:r>
    </w:p>
    <w:p>
      <w:pPr>
        <w:pStyle w:val="5"/>
        <w:keepNext w:val="0"/>
        <w:keepLines w:val="0"/>
        <w:pageBreakBefore w:val="0"/>
        <w:widowControl w:val="0"/>
        <w:kinsoku/>
        <w:wordWrap/>
        <w:overflowPunct/>
        <w:topLinePunct w:val="0"/>
        <w:autoSpaceDE/>
        <w:autoSpaceDN/>
        <w:bidi w:val="0"/>
        <w:adjustRightInd/>
        <w:snapToGrid/>
        <w:spacing w:line="560" w:lineRule="exact"/>
        <w:ind w:firstLine="5610" w:firstLineChars="1870"/>
        <w:textAlignment w:val="auto"/>
        <w:rPr>
          <w:rFonts w:hint="eastAsia" w:eastAsia="仿宋" w:cs="Times New Roman"/>
          <w:kern w:val="21"/>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5610" w:firstLineChars="1870"/>
        <w:textAlignment w:val="auto"/>
        <w:rPr>
          <w:rFonts w:hint="eastAsia" w:eastAsia="仿宋" w:cs="Times New Roman"/>
          <w:kern w:val="21"/>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5610" w:firstLineChars="1870"/>
        <w:textAlignment w:val="auto"/>
        <w:rPr>
          <w:rFonts w:hint="eastAsia" w:eastAsia="仿宋" w:cs="Times New Roman"/>
          <w:kern w:val="21"/>
          <w:sz w:val="30"/>
          <w:szCs w:val="30"/>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5310" w:firstLineChars="1770"/>
        <w:textAlignment w:val="auto"/>
        <w:rPr>
          <w:rFonts w:hint="eastAsia" w:ascii="楷体" w:hAnsi="楷体" w:eastAsia="楷体" w:cs="宋体"/>
          <w:b/>
          <w:sz w:val="32"/>
        </w:rPr>
      </w:pPr>
      <w:r>
        <w:rPr>
          <w:rFonts w:hint="default" w:ascii="Times New Roman" w:hAnsi="Times New Roman" w:eastAsia="仿宋" w:cs="Times New Roman"/>
          <w:kern w:val="21"/>
          <w:sz w:val="30"/>
          <w:szCs w:val="30"/>
          <w:lang w:val="en-US" w:eastAsia="zh-CN"/>
        </w:rPr>
        <w:t>2024</w:t>
      </w:r>
      <w:r>
        <w:rPr>
          <w:rFonts w:hint="eastAsia" w:ascii="仿宋_GB2312" w:hAnsi="仿宋_GB2312" w:eastAsia="仿宋_GB2312" w:cs="仿宋_GB2312"/>
          <w:color w:val="auto"/>
          <w:kern w:val="2"/>
          <w:sz w:val="32"/>
          <w:szCs w:val="32"/>
          <w:lang w:val="en-US" w:eastAsia="zh-CN"/>
        </w:rPr>
        <w:t>年</w:t>
      </w:r>
      <w:r>
        <w:rPr>
          <w:rFonts w:hint="eastAsia" w:ascii="Times New Roman" w:hAnsi="Times New Roman" w:eastAsia="仿宋" w:cs="Times New Roman"/>
          <w:kern w:val="21"/>
          <w:sz w:val="30"/>
          <w:szCs w:val="30"/>
          <w:lang w:val="en-US" w:eastAsia="zh-CN"/>
        </w:rPr>
        <w:t>5</w:t>
      </w:r>
      <w:r>
        <w:rPr>
          <w:rFonts w:hint="eastAsia" w:ascii="仿宋_GB2312" w:hAnsi="仿宋_GB2312" w:eastAsia="仿宋_GB2312" w:cs="仿宋_GB2312"/>
          <w:color w:val="auto"/>
          <w:kern w:val="2"/>
          <w:sz w:val="32"/>
          <w:szCs w:val="32"/>
          <w:lang w:val="en-US" w:eastAsia="zh-CN"/>
        </w:rPr>
        <w:t>月</w:t>
      </w:r>
      <w:r>
        <w:rPr>
          <w:rFonts w:hint="eastAsia" w:ascii="Times New Roman" w:hAnsi="Times New Roman" w:eastAsia="仿宋" w:cs="Times New Roman"/>
          <w:kern w:val="21"/>
          <w:sz w:val="30"/>
          <w:szCs w:val="30"/>
          <w:lang w:val="en-US" w:eastAsia="zh-CN"/>
        </w:rPr>
        <w:t>17</w:t>
      </w:r>
      <w:r>
        <w:rPr>
          <w:rFonts w:hint="eastAsia" w:ascii="仿宋_GB2312" w:hAnsi="仿宋_GB2312" w:eastAsia="仿宋_GB2312" w:cs="仿宋_GB2312"/>
          <w:color w:val="auto"/>
          <w:kern w:val="2"/>
          <w:sz w:val="32"/>
          <w:szCs w:val="32"/>
          <w:lang w:val="en-US" w:eastAsia="zh-CN"/>
        </w:rPr>
        <w:t>日</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宋体"/>
          <w:b/>
          <w:sz w:val="32"/>
        </w:rPr>
      </w:pPr>
    </w:p>
    <w:p>
      <w:pPr>
        <w:pStyle w:val="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rPr>
          <w:rFonts w:hint="eastAsia"/>
        </w:rPr>
      </w:pPr>
    </w:p>
    <w:p>
      <w:pPr>
        <w:pStyle w:val="4"/>
        <w:rPr>
          <w:rFonts w:hint="eastAsia"/>
        </w:rPr>
        <w:sectPr>
          <w:footerReference r:id="rId9" w:type="default"/>
          <w:footerReference r:id="rId10" w:type="even"/>
          <w:pgSz w:w="11906" w:h="16838"/>
          <w:pgMar w:top="2098" w:right="1531" w:bottom="1984" w:left="1531" w:header="851" w:footer="1587" w:gutter="0"/>
          <w:pgNumType w:fmt="decimal" w:chapStyle="1"/>
          <w:cols w:space="720" w:num="1"/>
          <w:docGrid w:type="lines" w:linePitch="312" w:charSpace="0"/>
        </w:sectPr>
      </w:pPr>
    </w:p>
    <w:p>
      <w:pPr>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pStyle w:val="4"/>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800" w:lineRule="exact"/>
        <w:ind w:firstLine="272" w:firstLineChars="100"/>
        <w:textAlignment w:val="auto"/>
        <w:rPr>
          <w:rFonts w:hint="default"/>
          <w:lang w:val="en-US" w:eastAsia="zh-CN"/>
        </w:rPr>
      </w:pPr>
      <w:r>
        <w:rPr>
          <w:rFonts w:hint="eastAsia" w:ascii="仿宋_GB2312" w:eastAsia="仿宋_GB2312"/>
          <w:spacing w:val="-4"/>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514350</wp:posOffset>
                </wp:positionV>
                <wp:extent cx="5600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40.5pt;height:0pt;width:441pt;z-index:251659264;mso-width-relative:page;mso-height-relative:page;" filled="f" stroked="t" coordsize="21600,21600" o:gfxdata="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DHY5szTAAAABgEAAA8AAAAAAAAAAQAgAAAAOAAAAGRycy9kb3ducmV2LnhtbFBLAQIUABQAAAAI&#10;AIdO4kAMTyZE3AEAAJkDAAAOAAAAAAAAAAEAIAAAADg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160020</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2.6pt;height:0pt;width:441pt;z-index:251660288;mso-width-relative:page;mso-height-relative:page;" filled="f" stroked="t" coordsize="21600,21600" o:gfxdata="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FXDS9/TAAAABgEAAA8AAAAAAAAAAQAgAAAAOAAAAGRycy9kb3ducmV2LnhtbFBLAQIUABQAAAAI&#10;AIdO4kALkRSV3AEAAJkDAAAOAAAAAAAAAAEAIAAAADg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28"/>
          <w:szCs w:val="28"/>
        </w:rPr>
        <w:t>巴里</w:t>
      </w:r>
      <w:r>
        <w:rPr>
          <w:rFonts w:eastAsia="仿宋_GB2312"/>
          <w:sz w:val="28"/>
          <w:szCs w:val="28"/>
        </w:rPr>
        <w:t xml:space="preserve">坤哈萨克自治县人民政府办公室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 xml:space="preserve"> 20</w:t>
      </w:r>
      <w:r>
        <w:rPr>
          <w:rFonts w:hint="eastAsia" w:eastAsia="仿宋_GB2312"/>
          <w:sz w:val="28"/>
          <w:szCs w:val="28"/>
        </w:rPr>
        <w:t>2</w:t>
      </w:r>
      <w:r>
        <w:rPr>
          <w:rFonts w:hint="eastAsia" w:eastAsia="仿宋_GB2312"/>
          <w:sz w:val="28"/>
          <w:szCs w:val="28"/>
          <w:lang w:val="en-US" w:eastAsia="zh-CN"/>
        </w:rPr>
        <w:t>4</w:t>
      </w:r>
      <w:r>
        <w:rPr>
          <w:rFonts w:eastAsia="仿宋_GB2312"/>
          <w:sz w:val="28"/>
          <w:szCs w:val="28"/>
        </w:rPr>
        <w:t>年</w:t>
      </w:r>
      <w:r>
        <w:rPr>
          <w:rFonts w:hint="eastAsia" w:eastAsia="仿宋_GB2312"/>
          <w:sz w:val="28"/>
          <w:szCs w:val="28"/>
          <w:lang w:val="en-US" w:eastAsia="zh-CN"/>
        </w:rPr>
        <w:t>5</w:t>
      </w:r>
      <w:r>
        <w:rPr>
          <w:rFonts w:eastAsia="仿宋_GB2312"/>
          <w:sz w:val="28"/>
          <w:szCs w:val="28"/>
        </w:rPr>
        <w:t>月</w:t>
      </w:r>
      <w:r>
        <w:rPr>
          <w:rFonts w:hint="eastAsia" w:eastAsia="仿宋_GB2312"/>
          <w:sz w:val="28"/>
          <w:szCs w:val="28"/>
          <w:lang w:val="en-US" w:eastAsia="zh-CN"/>
        </w:rPr>
        <w:t>17</w:t>
      </w:r>
      <w:r>
        <w:rPr>
          <w:rFonts w:eastAsia="仿宋_GB2312"/>
          <w:sz w:val="28"/>
          <w:szCs w:val="28"/>
        </w:rPr>
        <w:t>日印发</w:t>
      </w:r>
    </w:p>
    <w:sectPr>
      <w:footerReference r:id="rId11" w:type="default"/>
      <w:pgSz w:w="11906" w:h="16838"/>
      <w:pgMar w:top="2098" w:right="1531" w:bottom="1984" w:left="1531" w:header="851" w:footer="1587" w:gutter="0"/>
      <w:pgNumType w:fmt="decimal"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汉仪中圆简">
    <w:panose1 w:val="00020600040101010101"/>
    <w:charset w:val="86"/>
    <w:family w:val="auto"/>
    <w:pitch w:val="default"/>
    <w:sig w:usb0="A00002BF" w:usb1="18EF7CFA" w:usb2="00000016" w:usb3="00000000" w:csb0="00040000" w:csb1="00000000"/>
  </w:font>
  <w:font w:name="汉仪仿宋简">
    <w:panose1 w:val="02010600000101010101"/>
    <w:charset w:val="86"/>
    <w:family w:val="auto"/>
    <w:pitch w:val="default"/>
    <w:sig w:usb0="00000001" w:usb1="080E0800" w:usb2="00000002"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
        <w:tab w:val="clear" w:pos="4153"/>
      </w:tabs>
      <w:ind w:right="360" w:firstLine="360"/>
      <w:rPr>
        <w:rFonts w:hint="eastAsia" w:ascii="宋体" w:hAnsi="宋体" w:eastAsia="宋体"/>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ascii="宋体" w:hAnsi="宋体" w:eastAsia="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rQUMRyQIAAO4FAAAOAAAAAAAAAAEAIAAAADUBAABkcnMvZTJvRG9jLnhtbFBL&#10;BQYAAAAABgAGAFkBAABwBg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E4D14"/>
    <w:multiLevelType w:val="singleLevel"/>
    <w:tmpl w:val="3D1E4D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05"/>
  <w:drawingGridVerticalSpacing w:val="316"/>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jMyZTI0Y2Q3MmFhYjFiYmRjMzE4NzljYjU0M2QifQ=="/>
  </w:docVars>
  <w:rsids>
    <w:rsidRoot w:val="313C5991"/>
    <w:rsid w:val="017A4F3D"/>
    <w:rsid w:val="02117D9A"/>
    <w:rsid w:val="02E4791C"/>
    <w:rsid w:val="035E0A80"/>
    <w:rsid w:val="04BC5D9C"/>
    <w:rsid w:val="06C859F8"/>
    <w:rsid w:val="07BF880E"/>
    <w:rsid w:val="07E16BF1"/>
    <w:rsid w:val="08646B95"/>
    <w:rsid w:val="099636C3"/>
    <w:rsid w:val="09E8227C"/>
    <w:rsid w:val="0BB02C8D"/>
    <w:rsid w:val="0BEFA94E"/>
    <w:rsid w:val="0C447045"/>
    <w:rsid w:val="0CB437FC"/>
    <w:rsid w:val="0D0C7767"/>
    <w:rsid w:val="0D3D20BA"/>
    <w:rsid w:val="0D9C2C0E"/>
    <w:rsid w:val="0DB63BE2"/>
    <w:rsid w:val="0EF610F1"/>
    <w:rsid w:val="10014078"/>
    <w:rsid w:val="1007516B"/>
    <w:rsid w:val="10AF1669"/>
    <w:rsid w:val="117FAFDE"/>
    <w:rsid w:val="12755796"/>
    <w:rsid w:val="13B30F65"/>
    <w:rsid w:val="13C47683"/>
    <w:rsid w:val="15283FA8"/>
    <w:rsid w:val="15EF0FBC"/>
    <w:rsid w:val="16B97C54"/>
    <w:rsid w:val="16BA6969"/>
    <w:rsid w:val="16BE15D4"/>
    <w:rsid w:val="17602B18"/>
    <w:rsid w:val="17FFF34C"/>
    <w:rsid w:val="191B16E5"/>
    <w:rsid w:val="19BF2B97"/>
    <w:rsid w:val="1A3D2ED1"/>
    <w:rsid w:val="1C166D5E"/>
    <w:rsid w:val="1CA114DF"/>
    <w:rsid w:val="1E4B360E"/>
    <w:rsid w:val="1FAE3AF8"/>
    <w:rsid w:val="1FB51D0C"/>
    <w:rsid w:val="1FD5B02B"/>
    <w:rsid w:val="1FD73850"/>
    <w:rsid w:val="1FDF1D07"/>
    <w:rsid w:val="1FF7DC98"/>
    <w:rsid w:val="1FFDE581"/>
    <w:rsid w:val="22463FFA"/>
    <w:rsid w:val="23764704"/>
    <w:rsid w:val="23814AA6"/>
    <w:rsid w:val="239624D6"/>
    <w:rsid w:val="23DD32F6"/>
    <w:rsid w:val="23E37743"/>
    <w:rsid w:val="241527C5"/>
    <w:rsid w:val="254D2B42"/>
    <w:rsid w:val="2744076F"/>
    <w:rsid w:val="27442D85"/>
    <w:rsid w:val="275000CF"/>
    <w:rsid w:val="27DE0FEE"/>
    <w:rsid w:val="293C3A44"/>
    <w:rsid w:val="296B0CBA"/>
    <w:rsid w:val="29F37C02"/>
    <w:rsid w:val="2BCA7002"/>
    <w:rsid w:val="2BEBC4EC"/>
    <w:rsid w:val="2C041D71"/>
    <w:rsid w:val="2C3122B9"/>
    <w:rsid w:val="2DB5CBC5"/>
    <w:rsid w:val="2DB6B491"/>
    <w:rsid w:val="2DF2ED79"/>
    <w:rsid w:val="2DF9127A"/>
    <w:rsid w:val="2FBC579A"/>
    <w:rsid w:val="2FD45DE0"/>
    <w:rsid w:val="2FE777E6"/>
    <w:rsid w:val="2FFDC94E"/>
    <w:rsid w:val="301C7B13"/>
    <w:rsid w:val="30536618"/>
    <w:rsid w:val="30611D5E"/>
    <w:rsid w:val="313C5991"/>
    <w:rsid w:val="31DE32C1"/>
    <w:rsid w:val="32FA2CF5"/>
    <w:rsid w:val="33477181"/>
    <w:rsid w:val="35F06D2B"/>
    <w:rsid w:val="37400A25"/>
    <w:rsid w:val="37677A00"/>
    <w:rsid w:val="3776084F"/>
    <w:rsid w:val="37AF09C5"/>
    <w:rsid w:val="37BD5E8F"/>
    <w:rsid w:val="37FF7F82"/>
    <w:rsid w:val="383810EF"/>
    <w:rsid w:val="387D10F8"/>
    <w:rsid w:val="38872094"/>
    <w:rsid w:val="39327AA9"/>
    <w:rsid w:val="3B591523"/>
    <w:rsid w:val="3BF942DF"/>
    <w:rsid w:val="3D392184"/>
    <w:rsid w:val="3D5E4E9E"/>
    <w:rsid w:val="3D9CEDCB"/>
    <w:rsid w:val="3DB77567"/>
    <w:rsid w:val="3DBF6B18"/>
    <w:rsid w:val="3DE14DA3"/>
    <w:rsid w:val="3DEB613B"/>
    <w:rsid w:val="3DFA79B3"/>
    <w:rsid w:val="3E3E6A3D"/>
    <w:rsid w:val="3E817133"/>
    <w:rsid w:val="3EFC4589"/>
    <w:rsid w:val="3F3F888E"/>
    <w:rsid w:val="3F7F9BAA"/>
    <w:rsid w:val="3FBBA867"/>
    <w:rsid w:val="3FD43BDD"/>
    <w:rsid w:val="3FF10A79"/>
    <w:rsid w:val="3FF47E70"/>
    <w:rsid w:val="413D6495"/>
    <w:rsid w:val="42052F22"/>
    <w:rsid w:val="43FF5EE6"/>
    <w:rsid w:val="446C025D"/>
    <w:rsid w:val="44916BA9"/>
    <w:rsid w:val="45320766"/>
    <w:rsid w:val="45416103"/>
    <w:rsid w:val="458F0387"/>
    <w:rsid w:val="465D4249"/>
    <w:rsid w:val="46A6386B"/>
    <w:rsid w:val="47AD0CFE"/>
    <w:rsid w:val="47CF2775"/>
    <w:rsid w:val="487F8C11"/>
    <w:rsid w:val="48F14BFF"/>
    <w:rsid w:val="4A433ED7"/>
    <w:rsid w:val="4A54394D"/>
    <w:rsid w:val="4A7F485A"/>
    <w:rsid w:val="4B667DDC"/>
    <w:rsid w:val="4C9C27A4"/>
    <w:rsid w:val="4CAC3C1B"/>
    <w:rsid w:val="4EFF4BCB"/>
    <w:rsid w:val="4F6F385A"/>
    <w:rsid w:val="4FC746EF"/>
    <w:rsid w:val="50D1744B"/>
    <w:rsid w:val="510460CD"/>
    <w:rsid w:val="51AE2570"/>
    <w:rsid w:val="54064D11"/>
    <w:rsid w:val="54324112"/>
    <w:rsid w:val="54DACE71"/>
    <w:rsid w:val="55E55DA1"/>
    <w:rsid w:val="56B7EEAF"/>
    <w:rsid w:val="575C82F8"/>
    <w:rsid w:val="58407699"/>
    <w:rsid w:val="59C86D1B"/>
    <w:rsid w:val="5A8C5B8B"/>
    <w:rsid w:val="5BF13B6E"/>
    <w:rsid w:val="5D955236"/>
    <w:rsid w:val="5DDB9AED"/>
    <w:rsid w:val="5EB7B059"/>
    <w:rsid w:val="5EFF3F56"/>
    <w:rsid w:val="5F197719"/>
    <w:rsid w:val="5F35239A"/>
    <w:rsid w:val="5F3DDC64"/>
    <w:rsid w:val="5F5B225C"/>
    <w:rsid w:val="5F67E9C8"/>
    <w:rsid w:val="5FCF9355"/>
    <w:rsid w:val="5FFE23C5"/>
    <w:rsid w:val="60DB1687"/>
    <w:rsid w:val="60FED203"/>
    <w:rsid w:val="615D2EB3"/>
    <w:rsid w:val="62A07065"/>
    <w:rsid w:val="630E7204"/>
    <w:rsid w:val="63CF1345"/>
    <w:rsid w:val="63D05CC7"/>
    <w:rsid w:val="6402284E"/>
    <w:rsid w:val="642E399E"/>
    <w:rsid w:val="6496645F"/>
    <w:rsid w:val="64DF7EE4"/>
    <w:rsid w:val="661259B4"/>
    <w:rsid w:val="66C73A46"/>
    <w:rsid w:val="6772739D"/>
    <w:rsid w:val="6779DF1E"/>
    <w:rsid w:val="677AF766"/>
    <w:rsid w:val="677EF21E"/>
    <w:rsid w:val="67E9282B"/>
    <w:rsid w:val="68334A03"/>
    <w:rsid w:val="68381753"/>
    <w:rsid w:val="68E57023"/>
    <w:rsid w:val="6A9B2571"/>
    <w:rsid w:val="6AAD2550"/>
    <w:rsid w:val="6ABEC44A"/>
    <w:rsid w:val="6AE7C7F9"/>
    <w:rsid w:val="6BFF9FD0"/>
    <w:rsid w:val="6C2A6E5E"/>
    <w:rsid w:val="6C837904"/>
    <w:rsid w:val="6CF3349D"/>
    <w:rsid w:val="6D1F76B0"/>
    <w:rsid w:val="6D8FBB39"/>
    <w:rsid w:val="6DDC8E59"/>
    <w:rsid w:val="6DEB5ABA"/>
    <w:rsid w:val="6E2173B4"/>
    <w:rsid w:val="6E7F3234"/>
    <w:rsid w:val="6E9728C4"/>
    <w:rsid w:val="6EBB483B"/>
    <w:rsid w:val="6EEDD429"/>
    <w:rsid w:val="6F7EBE7D"/>
    <w:rsid w:val="6FAD2AD5"/>
    <w:rsid w:val="6FD9C6F8"/>
    <w:rsid w:val="70C10C2E"/>
    <w:rsid w:val="71DF3D48"/>
    <w:rsid w:val="725F34F0"/>
    <w:rsid w:val="72AA4C9A"/>
    <w:rsid w:val="73005E99"/>
    <w:rsid w:val="731042D7"/>
    <w:rsid w:val="737E58BB"/>
    <w:rsid w:val="73E1FD7C"/>
    <w:rsid w:val="73E8E429"/>
    <w:rsid w:val="745801C4"/>
    <w:rsid w:val="74CE25AF"/>
    <w:rsid w:val="74EC1339"/>
    <w:rsid w:val="74FDA543"/>
    <w:rsid w:val="759DA7FA"/>
    <w:rsid w:val="76576E60"/>
    <w:rsid w:val="765F5CF1"/>
    <w:rsid w:val="7672B2D3"/>
    <w:rsid w:val="76BEFCCA"/>
    <w:rsid w:val="76CDB52A"/>
    <w:rsid w:val="77467948"/>
    <w:rsid w:val="779FAC5F"/>
    <w:rsid w:val="77B82B35"/>
    <w:rsid w:val="77D6B452"/>
    <w:rsid w:val="787677ED"/>
    <w:rsid w:val="787F65EF"/>
    <w:rsid w:val="78B813C8"/>
    <w:rsid w:val="78C37C8B"/>
    <w:rsid w:val="79464794"/>
    <w:rsid w:val="79602CD0"/>
    <w:rsid w:val="797907D0"/>
    <w:rsid w:val="799939DD"/>
    <w:rsid w:val="79BD7178"/>
    <w:rsid w:val="79FE1845"/>
    <w:rsid w:val="7AAE61B3"/>
    <w:rsid w:val="7AC45A85"/>
    <w:rsid w:val="7B0D03F0"/>
    <w:rsid w:val="7B578BAE"/>
    <w:rsid w:val="7B7FCB10"/>
    <w:rsid w:val="7B9E08DE"/>
    <w:rsid w:val="7BCFC51C"/>
    <w:rsid w:val="7BDF3F10"/>
    <w:rsid w:val="7BFD208D"/>
    <w:rsid w:val="7C716D5B"/>
    <w:rsid w:val="7CD9B767"/>
    <w:rsid w:val="7CF14865"/>
    <w:rsid w:val="7D013B7F"/>
    <w:rsid w:val="7D4377EE"/>
    <w:rsid w:val="7D7A4336"/>
    <w:rsid w:val="7DAF7B4F"/>
    <w:rsid w:val="7DF73EE9"/>
    <w:rsid w:val="7EB7762A"/>
    <w:rsid w:val="7ECF5732"/>
    <w:rsid w:val="7ECF7860"/>
    <w:rsid w:val="7EDF464F"/>
    <w:rsid w:val="7EEF7470"/>
    <w:rsid w:val="7EF740C8"/>
    <w:rsid w:val="7F04FD55"/>
    <w:rsid w:val="7F272C85"/>
    <w:rsid w:val="7F491652"/>
    <w:rsid w:val="7F4EE7F7"/>
    <w:rsid w:val="7F6EFB07"/>
    <w:rsid w:val="7F7D1D76"/>
    <w:rsid w:val="7FBF5EC3"/>
    <w:rsid w:val="7FDF36DE"/>
    <w:rsid w:val="7FEBE03C"/>
    <w:rsid w:val="7FEF2CE8"/>
    <w:rsid w:val="7FF1EDCE"/>
    <w:rsid w:val="7FF37893"/>
    <w:rsid w:val="7FF51001"/>
    <w:rsid w:val="7FF76A11"/>
    <w:rsid w:val="7FF791C1"/>
    <w:rsid w:val="7FFB25FC"/>
    <w:rsid w:val="7FFEE52F"/>
    <w:rsid w:val="7FFF447C"/>
    <w:rsid w:val="87AFB4AF"/>
    <w:rsid w:val="87FF5D12"/>
    <w:rsid w:val="95FFA3AB"/>
    <w:rsid w:val="97F56681"/>
    <w:rsid w:val="9887CF4B"/>
    <w:rsid w:val="98BBAE48"/>
    <w:rsid w:val="9FFE1F01"/>
    <w:rsid w:val="AAEFBD8E"/>
    <w:rsid w:val="ABCE0232"/>
    <w:rsid w:val="ADEAFBE6"/>
    <w:rsid w:val="AEBB1253"/>
    <w:rsid w:val="AECF69B1"/>
    <w:rsid w:val="AFF34F4C"/>
    <w:rsid w:val="AFF54765"/>
    <w:rsid w:val="AFFB1EBD"/>
    <w:rsid w:val="AFFF013E"/>
    <w:rsid w:val="B5DFC614"/>
    <w:rsid w:val="B9DB6665"/>
    <w:rsid w:val="BBAB2F43"/>
    <w:rsid w:val="BC8FC32D"/>
    <w:rsid w:val="BCFB4EA6"/>
    <w:rsid w:val="BD53049D"/>
    <w:rsid w:val="BD7F7A3F"/>
    <w:rsid w:val="BDFD1068"/>
    <w:rsid w:val="BDFF157D"/>
    <w:rsid w:val="BE173E85"/>
    <w:rsid w:val="BEBBB04B"/>
    <w:rsid w:val="BEEDE64C"/>
    <w:rsid w:val="BF9DF15C"/>
    <w:rsid w:val="BFF9F2AA"/>
    <w:rsid w:val="BFFD80ED"/>
    <w:rsid w:val="BFFF3AD6"/>
    <w:rsid w:val="C7FF349E"/>
    <w:rsid w:val="CFB630AB"/>
    <w:rsid w:val="CFEBB732"/>
    <w:rsid w:val="D22F1450"/>
    <w:rsid w:val="D6BF355F"/>
    <w:rsid w:val="D95F3A27"/>
    <w:rsid w:val="DAEFC15B"/>
    <w:rsid w:val="DBFE36BF"/>
    <w:rsid w:val="DBFF8F5C"/>
    <w:rsid w:val="DCF3DCC9"/>
    <w:rsid w:val="DDDFFF2D"/>
    <w:rsid w:val="DDFF5D12"/>
    <w:rsid w:val="DEF942CE"/>
    <w:rsid w:val="DEFF76D5"/>
    <w:rsid w:val="DF6E321D"/>
    <w:rsid w:val="DF7BFA79"/>
    <w:rsid w:val="DFBAC99C"/>
    <w:rsid w:val="DFBCC5C2"/>
    <w:rsid w:val="DFBF09DC"/>
    <w:rsid w:val="DFE3AF5F"/>
    <w:rsid w:val="DFF6A3A1"/>
    <w:rsid w:val="E05F3A82"/>
    <w:rsid w:val="E0FDD259"/>
    <w:rsid w:val="E166E7B3"/>
    <w:rsid w:val="E5FCA2A9"/>
    <w:rsid w:val="E7AFC0FD"/>
    <w:rsid w:val="E7B7B8E5"/>
    <w:rsid w:val="EBDE731C"/>
    <w:rsid w:val="EBE74188"/>
    <w:rsid w:val="EBFFFFE3"/>
    <w:rsid w:val="EC751E4C"/>
    <w:rsid w:val="ECDD8FF2"/>
    <w:rsid w:val="EDE508E5"/>
    <w:rsid w:val="EE5FBBE4"/>
    <w:rsid w:val="EF5F9CD7"/>
    <w:rsid w:val="EFDB9CAB"/>
    <w:rsid w:val="EFEEB71B"/>
    <w:rsid w:val="EFFFBD30"/>
    <w:rsid w:val="F2B5BF1F"/>
    <w:rsid w:val="F36BF179"/>
    <w:rsid w:val="F4DF54AF"/>
    <w:rsid w:val="F5A7E5B1"/>
    <w:rsid w:val="F5BFE101"/>
    <w:rsid w:val="F5EFA82B"/>
    <w:rsid w:val="F5FF7DF4"/>
    <w:rsid w:val="F79D48E8"/>
    <w:rsid w:val="F79D6E09"/>
    <w:rsid w:val="F7BD4111"/>
    <w:rsid w:val="F7E4D9C5"/>
    <w:rsid w:val="F7EEDD36"/>
    <w:rsid w:val="F7EEF308"/>
    <w:rsid w:val="F7F3FD83"/>
    <w:rsid w:val="F7FCAB8E"/>
    <w:rsid w:val="F97F6994"/>
    <w:rsid w:val="F9EFFD00"/>
    <w:rsid w:val="F9FBC699"/>
    <w:rsid w:val="FB1F0841"/>
    <w:rsid w:val="FB376C87"/>
    <w:rsid w:val="FBD7EBED"/>
    <w:rsid w:val="FBF66CE1"/>
    <w:rsid w:val="FBFFC49A"/>
    <w:rsid w:val="FCBF5504"/>
    <w:rsid w:val="FCF762E1"/>
    <w:rsid w:val="FDBF24AC"/>
    <w:rsid w:val="FDEBFB5B"/>
    <w:rsid w:val="FDF50EEB"/>
    <w:rsid w:val="FDFC9DAD"/>
    <w:rsid w:val="FDFDC2D3"/>
    <w:rsid w:val="FEAF84CC"/>
    <w:rsid w:val="FEC46BFD"/>
    <w:rsid w:val="FEDF1924"/>
    <w:rsid w:val="FEE776BD"/>
    <w:rsid w:val="FEF4205B"/>
    <w:rsid w:val="FEFB8200"/>
    <w:rsid w:val="FF3658B6"/>
    <w:rsid w:val="FF672D39"/>
    <w:rsid w:val="FF6F3E99"/>
    <w:rsid w:val="FFBE5423"/>
    <w:rsid w:val="FFBF8C31"/>
    <w:rsid w:val="FFC7E5F0"/>
    <w:rsid w:val="FFCE7906"/>
    <w:rsid w:val="FFCF1346"/>
    <w:rsid w:val="FFDE1196"/>
    <w:rsid w:val="FFDF1802"/>
    <w:rsid w:val="FFE718F8"/>
    <w:rsid w:val="FFEFF886"/>
    <w:rsid w:val="FFF5ACA8"/>
    <w:rsid w:val="FFF77626"/>
    <w:rsid w:val="FFFD7331"/>
    <w:rsid w:val="FFFE14EC"/>
    <w:rsid w:val="FFFFD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unhideWhenUsed/>
    <w:qFormat/>
    <w:uiPriority w:val="99"/>
    <w:pPr>
      <w:ind w:firstLine="420" w:firstLineChars="200"/>
    </w:pPr>
  </w:style>
  <w:style w:type="paragraph" w:styleId="3">
    <w:name w:val="Body Text Indent"/>
    <w:basedOn w:val="1"/>
    <w:next w:val="1"/>
    <w:qFormat/>
    <w:uiPriority w:val="0"/>
    <w:pPr>
      <w:spacing w:line="580" w:lineRule="exact"/>
      <w:ind w:firstLine="480"/>
    </w:pPr>
    <w:rPr>
      <w:rFonts w:ascii="仿宋_GB2312" w:hAnsi="宋体" w:eastAsia="仿宋_GB2312"/>
      <w:sz w:val="28"/>
    </w:rPr>
  </w:style>
  <w:style w:type="paragraph" w:styleId="5">
    <w:name w:val="Plain Text"/>
    <w:basedOn w:val="1"/>
    <w:qFormat/>
    <w:uiPriority w:val="99"/>
    <w:pPr>
      <w:spacing w:line="240" w:lineRule="auto"/>
      <w:ind w:firstLine="360"/>
      <w:jc w:val="left"/>
      <w:textAlignment w:val="auto"/>
    </w:pPr>
    <w:rPr>
      <w:rFonts w:ascii="宋体" w:hAnsi="Courier New" w:eastAsia="仿宋_GB2312" w:cs="Courier New"/>
      <w:color w:val="auto"/>
      <w:sz w:val="22"/>
      <w:szCs w:val="21"/>
      <w:lang w:eastAsia="en-US"/>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font11"/>
    <w:basedOn w:val="11"/>
    <w:qFormat/>
    <w:uiPriority w:val="0"/>
    <w:rPr>
      <w:rFonts w:hint="eastAsia" w:ascii="宋体" w:hAnsi="宋体" w:eastAsia="宋体" w:cs="宋体"/>
      <w:color w:val="000000"/>
      <w:sz w:val="22"/>
      <w:szCs w:val="22"/>
      <w:u w:val="none"/>
    </w:rPr>
  </w:style>
  <w:style w:type="character" w:customStyle="1" w:styleId="15">
    <w:name w:val="font41"/>
    <w:basedOn w:val="11"/>
    <w:qFormat/>
    <w:uiPriority w:val="0"/>
    <w:rPr>
      <w:rFonts w:hint="eastAsia" w:ascii="仿宋" w:hAnsi="仿宋" w:eastAsia="仿宋" w:cs="仿宋"/>
      <w:color w:val="000000"/>
      <w:sz w:val="22"/>
      <w:szCs w:val="22"/>
      <w:u w:val="none"/>
    </w:rPr>
  </w:style>
  <w:style w:type="paragraph" w:customStyle="1" w:styleId="16">
    <w:name w:val="Default"/>
    <w:unhideWhenUsed/>
    <w:qFormat/>
    <w:uiPriority w:val="99"/>
    <w:pPr>
      <w:widowControl w:val="0"/>
      <w:autoSpaceDE w:val="0"/>
      <w:autoSpaceDN w:val="0"/>
      <w:adjustRightInd w:val="0"/>
    </w:pPr>
    <w:rPr>
      <w:rFonts w:hint="eastAsia"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415</Words>
  <Characters>421</Characters>
  <Lines>0</Lines>
  <Paragraphs>0</Paragraphs>
  <TotalTime>3884</TotalTime>
  <ScaleCrop>false</ScaleCrop>
  <LinksUpToDate>false</LinksUpToDate>
  <CharactersWithSpaces>421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2020-07-16T06:54:00Z</dcterms:created>
  <dc:creator>旅途者</dc:creator>
  <cp:lastModifiedBy>greatwall</cp:lastModifiedBy>
  <cp:lastPrinted>2024-05-20T08:58:26Z</cp:lastPrinted>
  <dcterms:modified xsi:type="dcterms:W3CDTF">2024-05-23T10:58:58Z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973A8F5AD978485890D49DCF6A3EC967_13</vt:lpwstr>
  </property>
</Properties>
</file>